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0" w:name="OLE_LINK283"/>
      <w:r>
        <w:rPr>
          <w:rFonts w:ascii="Arial" w:hAnsi="Arial" w:cs="Arial"/>
          <w:b/>
          <w:bCs/>
          <w:lang w:val="en-US" w:eastAsia="en-US"/>
        </w:rPr>
        <w:t>3GPP TSG-RAN WG2 Meeting #109</w:t>
      </w:r>
      <w:r>
        <w:rPr>
          <w:rFonts w:hint="eastAsia" w:ascii="Arial" w:hAnsi="Arial" w:cs="Arial"/>
          <w:b/>
          <w:bCs/>
          <w:lang w:val="en-US" w:eastAsia="zh-CN"/>
        </w:rPr>
        <w:t>-e</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R2-2000495</w:t>
      </w:r>
    </w:p>
    <w:bookmarkEnd w:id="0"/>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1" w:name="OLE_LINK16"/>
      <w:bookmarkStart w:id="2" w:name="OLE_LINK11"/>
      <w:bookmarkStart w:id="3" w:name="OLE_LINK9"/>
      <w:bookmarkStart w:id="4" w:name="OLE_LINK10"/>
      <w:bookmarkStart w:id="5" w:name="OLE_LINK15"/>
      <w:r>
        <w:rPr>
          <w:rFonts w:ascii="Arial" w:hAnsi="Arial" w:cs="Arial"/>
          <w:b/>
          <w:bCs/>
          <w:szCs w:val="22"/>
          <w:lang w:val="en-US" w:eastAsia="zh-CN"/>
        </w:rPr>
        <w:t>Electronic Meeting, 28</w:t>
      </w:r>
      <w:r>
        <w:rPr>
          <w:rFonts w:ascii="Arial" w:hAnsi="Arial" w:cs="Arial"/>
          <w:b/>
          <w:bCs/>
          <w:szCs w:val="22"/>
          <w:vertAlign w:val="superscript"/>
          <w:lang w:val="en-US" w:eastAsia="zh-CN"/>
        </w:rPr>
        <w:t>th</w:t>
      </w:r>
      <w:r>
        <w:rPr>
          <w:rFonts w:ascii="Arial" w:hAnsi="Arial" w:cs="Arial"/>
          <w:b/>
          <w:bCs/>
          <w:szCs w:val="22"/>
          <w:lang w:val="en-US" w:eastAsia="zh-CN"/>
        </w:rPr>
        <w:t xml:space="preserve"> Feb – 6</w:t>
      </w:r>
      <w:bookmarkStart w:id="8" w:name="_GoBack"/>
      <w:r>
        <w:rPr>
          <w:rFonts w:ascii="Arial" w:hAnsi="Arial" w:cs="Arial"/>
          <w:b/>
          <w:bCs/>
          <w:szCs w:val="22"/>
          <w:vertAlign w:val="superscript"/>
          <w:lang w:val="en-US" w:eastAsia="zh-CN"/>
        </w:rPr>
        <w:t xml:space="preserve"> th</w:t>
      </w:r>
      <w:bookmarkEnd w:id="8"/>
      <w:r>
        <w:rPr>
          <w:rFonts w:ascii="Arial" w:hAnsi="Arial" w:cs="Arial"/>
          <w:b/>
          <w:bCs/>
          <w:szCs w:val="22"/>
          <w:lang w:val="en-US" w:eastAsia="zh-CN"/>
        </w:rPr>
        <w:t xml:space="preserve"> Mar, 2020</w:t>
      </w:r>
      <w:bookmarkEnd w:id="1"/>
      <w:bookmarkEnd w:id="2"/>
      <w:bookmarkEnd w:id="3"/>
      <w:bookmarkEnd w:id="4"/>
      <w:bookmarkEnd w:id="5"/>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Discussion on the MAC PDU recovery procedure</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6.7.3.1</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6" w:name="_Ref165266342"/>
      <w:r>
        <w:t>Introduction</w:t>
      </w:r>
      <w:bookmarkEnd w:id="6"/>
    </w:p>
    <w:p>
      <w:r>
        <w:t>According to the RAN2#108 meeting discussion on the UE autonomous re-transmission for the de-prioritized MAC PDU, RAN2 made the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9"/>
              <w:tabs>
                <w:tab w:val="left" w:pos="1619"/>
                <w:tab w:val="clear" w:pos="1440"/>
              </w:tabs>
              <w:ind w:left="1619"/>
              <w:rPr>
                <w:lang w:eastAsia="zh-CN"/>
              </w:rPr>
            </w:pPr>
            <w:r>
              <w:rPr>
                <w:lang w:eastAsia="zh-CN"/>
              </w:rPr>
              <w:t>UE autonomously transmits the de-prioritized PDU as a new transmission in a CG resource from the same CG configuration (FFS different CG configuration)</w:t>
            </w:r>
          </w:p>
          <w:p>
            <w:pPr>
              <w:pStyle w:val="79"/>
              <w:tabs>
                <w:tab w:val="left" w:pos="1619"/>
                <w:tab w:val="clear" w:pos="1440"/>
              </w:tabs>
              <w:ind w:left="1619"/>
              <w:rPr>
                <w:lang w:eastAsia="zh-CN"/>
              </w:rPr>
            </w:pPr>
            <w:r>
              <w:rPr>
                <w:lang w:eastAsia="zh-CN"/>
              </w:rPr>
              <w:t>The new CG uses the same HARQ process as the deprioritized CG.</w:t>
            </w:r>
          </w:p>
          <w:p>
            <w:pPr>
              <w:pStyle w:val="79"/>
              <w:tabs>
                <w:tab w:val="left" w:pos="1619"/>
                <w:tab w:val="clear" w:pos="1440"/>
              </w:tabs>
              <w:ind w:left="1619"/>
              <w:rPr>
                <w:lang w:eastAsia="zh-CN"/>
              </w:rPr>
            </w:pPr>
            <w:r>
              <w:rPr>
                <w:lang w:eastAsia="zh-CN"/>
              </w:rPr>
              <w:t>The Aut (re-) transmission feature is optional</w:t>
            </w:r>
          </w:p>
          <w:p>
            <w:pPr>
              <w:pStyle w:val="44"/>
            </w:pPr>
          </w:p>
          <w:p>
            <w:pPr>
              <w:pStyle w:val="79"/>
              <w:tabs>
                <w:tab w:val="left" w:pos="1619"/>
                <w:tab w:val="clear" w:pos="1440"/>
              </w:tabs>
              <w:ind w:left="1619"/>
            </w:pPr>
            <w: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pPr>
              <w:pStyle w:val="79"/>
              <w:tabs>
                <w:tab w:val="left" w:pos="1619"/>
                <w:tab w:val="clear" w:pos="1440"/>
              </w:tabs>
              <w:ind w:left="1619"/>
            </w:pPr>
            <w:r>
              <w:t xml:space="preserve">UE shall not perform autonomous transmission of the PDU if network has scheduled a retransmission grant for the PDU. FFS whether we specify some time restriction. </w:t>
            </w:r>
          </w:p>
        </w:tc>
      </w:tr>
    </w:tbl>
    <w:p>
      <w:r>
        <w:t>In this contribution, we discuss the remaining issues on the UE autonomous retransmission for the deprioritized MAC PDU due to the uplink transmission collision.</w:t>
      </w:r>
    </w:p>
    <w:p>
      <w:pPr>
        <w:pStyle w:val="2"/>
        <w:jc w:val="left"/>
      </w:pPr>
      <w:r>
        <w:rPr>
          <w:rFonts w:hint="eastAsia"/>
        </w:rPr>
        <w:t>Discussion</w:t>
      </w:r>
    </w:p>
    <w:p>
      <w:pPr>
        <w:pStyle w:val="3"/>
        <w:keepLines w:val="0"/>
        <w:tabs>
          <w:tab w:val="left" w:pos="576"/>
        </w:tabs>
        <w:spacing w:line="240" w:lineRule="auto"/>
        <w:ind w:left="0" w:firstLine="0"/>
        <w:jc w:val="left"/>
      </w:pPr>
      <w:r>
        <w:rPr>
          <w:bCs/>
          <w:szCs w:val="22"/>
        </w:rPr>
        <w:t>Autonomous retransmission on different CG</w:t>
      </w:r>
    </w:p>
    <w:p>
      <w:pPr>
        <w:spacing w:afterLines="50" w:line="240" w:lineRule="auto"/>
        <w:jc w:val="left"/>
      </w:pPr>
      <w:r>
        <w:t>According to the agreements given above, the autonomous retransmission for the deprioritized MAC PDU is performed by using the same HARQ process. If companies want to support the autonomous retransmission on a different CG, the network needs to configure the UE with overlapped HARQ process IDs which may cause lots of packet loss as the new transmission of the same HARQ process on a different CG configuration (e.g. CG configuration-1) would flush the MAC PDU created by the uplink grant from another CG configuration (e.g. CG configuration-2). Furthermore the TBS of the uplink grant for these two CG configurations should be identical. Otherwise the UE needs to perform the MAC PDU rebuilding which could cause some packet loss due to the miss-matching of the TBSs between different CG configurations.</w:t>
      </w:r>
    </w:p>
    <w:p>
      <w:pPr>
        <w:spacing w:afterLines="50" w:line="240" w:lineRule="auto"/>
        <w:jc w:val="left"/>
        <w:rPr>
          <w:b/>
        </w:rPr>
      </w:pPr>
      <w:r>
        <w:rPr>
          <w:b/>
        </w:rPr>
        <w:t>Observation 1: Allowing UE autonomous retransmission on different CG configurations would require the gNB to allocated overlapping HARQ process IDs which may cause lots of packet loss.</w:t>
      </w:r>
    </w:p>
    <w:p>
      <w:pPr>
        <w:spacing w:afterLines="50" w:line="240" w:lineRule="auto"/>
        <w:jc w:val="left"/>
        <w:rPr>
          <w:b/>
        </w:rPr>
      </w:pPr>
      <w:r>
        <w:rPr>
          <w:b/>
        </w:rPr>
        <w:t>Observation 2: Allowing UE autonomous retransmission on different CG configurations would require that the TBS(s) of the uplink grants between two CG configurations are identical so as to avoid the packet loss due to MAC PDU re-building.</w:t>
      </w:r>
    </w:p>
    <w:p>
      <w:pPr>
        <w:spacing w:afterLines="50" w:line="240" w:lineRule="auto"/>
        <w:jc w:val="left"/>
      </w:pPr>
      <w:r>
        <w:t>Thus to simplify the UE implementation, we consider that the UE autonomous retransmission on different CG configurations should be not be allowed.</w:t>
      </w:r>
    </w:p>
    <w:p>
      <w:pPr>
        <w:spacing w:afterLines="50" w:line="240" w:lineRule="auto"/>
        <w:jc w:val="left"/>
        <w:rPr>
          <w:b/>
        </w:rPr>
      </w:pPr>
      <w:r>
        <w:rPr>
          <w:b/>
        </w:rPr>
        <w:t>Proposal 1: The UE autonomous retransmission on different CG configurations is not allowed.</w:t>
      </w:r>
    </w:p>
    <w:p>
      <w:pPr>
        <w:pStyle w:val="3"/>
        <w:keepLines w:val="0"/>
        <w:tabs>
          <w:tab w:val="left" w:pos="576"/>
        </w:tabs>
        <w:spacing w:line="240" w:lineRule="auto"/>
        <w:ind w:left="0" w:firstLine="0"/>
        <w:jc w:val="left"/>
        <w:rPr>
          <w:bCs/>
          <w:szCs w:val="22"/>
        </w:rPr>
      </w:pPr>
      <w:r>
        <w:rPr>
          <w:bCs/>
          <w:szCs w:val="22"/>
        </w:rPr>
        <w:t>Autonomous retransmission for the deprioritized retransmission grant</w:t>
      </w:r>
    </w:p>
    <w:p>
      <w:pPr>
        <w:spacing w:afterLines="50" w:line="240" w:lineRule="auto"/>
        <w:jc w:val="left"/>
      </w:pPr>
      <w:r>
        <w:t>When the UE uses the configured grant for retransmission, this re-transmission configured grant (which is considered as HARQ newt transmission for the deprioritized MAC PDU) could also be de-prioritized. Then one questions is whether the UE should perform the autonomous retransmission for the deprioritized re-transmission configured grant. From our understanding, if the UE is allowed to perform the autonomous retransmission for the deprioritized re-transmission configured grant, RAN2 may need to specify the maximum number (e.g. configurable via RRC) for which the UE is allowed for autonomous retransmission, so as to avoid the endless retransmission. To save our discussion time in Rel-16 and to simplify the UE implementation, we consider that the UE autonomous retransmission should be only performed once.</w:t>
      </w:r>
    </w:p>
    <w:p>
      <w:pPr>
        <w:spacing w:afterLines="50" w:line="240" w:lineRule="auto"/>
        <w:jc w:val="left"/>
        <w:rPr>
          <w:b/>
        </w:rPr>
      </w:pPr>
      <w:r>
        <w:rPr>
          <w:b/>
        </w:rPr>
        <w:t>Proposal 2: The UE is only allowed to perform the autonomous retransmission for the deprioritized MAC PDU once.</w:t>
      </w:r>
    </w:p>
    <w:p>
      <w:pPr>
        <w:pStyle w:val="3"/>
        <w:keepLines w:val="0"/>
        <w:tabs>
          <w:tab w:val="left" w:pos="576"/>
        </w:tabs>
        <w:spacing w:line="240" w:lineRule="auto"/>
        <w:ind w:left="0" w:firstLine="0"/>
        <w:jc w:val="left"/>
        <w:rPr>
          <w:bCs/>
          <w:szCs w:val="22"/>
        </w:rPr>
      </w:pPr>
      <w:r>
        <w:rPr>
          <w:bCs/>
          <w:szCs w:val="22"/>
        </w:rPr>
        <w:t>PUSCH process delay</w:t>
      </w:r>
    </w:p>
    <w:p>
      <w:pPr>
        <w:spacing w:afterLines="50" w:line="240" w:lineRule="auto"/>
        <w:jc w:val="left"/>
      </w:pPr>
      <w:r>
        <w:t xml:space="preserve">According to 38.214 [2], the UE needs to have some processing time for the preparation of the PUSCH transmission. Based on the numerology of the carrier, the PUSCH preparation time (i.e. </w:t>
      </w:r>
      <w:r>
        <w:rPr>
          <w:i/>
        </w:rPr>
        <w:t>N2</w:t>
      </w:r>
      <w:r>
        <w:t>) could be up to 36 symbols, as also given in the Annex A. However according to the CG configuration, the periodicity of the CG configuration can be very short (e.g. 1 or 2 symbols). Then the MAC specification should not force the UE to select the uplink grant for autonomous retransmission which does not fulfil the requirements of the PUSCH preparation time. However according to the current MAC running CR [3] for the IIOT WI, the UE immediately selects the next CG for autonomous retransmission without considering the PUSCH preparation time, and this will cause the autonomous retransmission failure due to the lack of time for the PUSCH preparation.</w:t>
      </w:r>
    </w:p>
    <w:p>
      <w:pPr>
        <w:spacing w:afterLines="50" w:line="240" w:lineRule="auto"/>
        <w:jc w:val="left"/>
        <w:rPr>
          <w:b/>
        </w:rPr>
      </w:pPr>
      <w:r>
        <w:rPr>
          <w:b/>
        </w:rPr>
        <w:t>Observation 3: The current MAC running CR requires the UE to immediately select the next configured grant for autonomous retransmission without considering the PUSCH preparation time.</w:t>
      </w:r>
    </w:p>
    <w:p>
      <w:pPr>
        <w:spacing w:afterLines="50" w:line="240" w:lineRule="auto"/>
        <w:jc w:val="left"/>
        <w:rPr>
          <w:b/>
        </w:rPr>
      </w:pPr>
      <w:r>
        <w:rPr>
          <w:b/>
        </w:rPr>
        <w:t>Proposal 3: The interval between the uplink grant for the autonomous retransmission and the uplink grant of the deprioritized MAC PDU should be equal to or larger than the PUSCH preparation time (i.e. N2) as defined/required in the 38.214.</w:t>
      </w:r>
    </w:p>
    <w:p>
      <w:pPr>
        <w:spacing w:afterLines="50" w:line="240" w:lineRule="auto"/>
        <w:jc w:val="left"/>
      </w:pPr>
    </w:p>
    <w:p>
      <w:pPr>
        <w:pStyle w:val="2"/>
        <w:jc w:val="left"/>
      </w:pPr>
      <w:r>
        <w:t>Conclusions</w:t>
      </w:r>
    </w:p>
    <w:p>
      <w:pPr>
        <w:spacing w:afterLines="50" w:line="240" w:lineRule="auto"/>
        <w:jc w:val="left"/>
      </w:pPr>
      <w:r>
        <w:t xml:space="preserve">Based on the analysis given above, we have the following observations and </w:t>
      </w:r>
      <w:r>
        <w:rPr>
          <w:rFonts w:hint="eastAsia"/>
        </w:rPr>
        <w:t>p</w:t>
      </w:r>
      <w:r>
        <w:t>roposals</w:t>
      </w:r>
      <w:r>
        <w:rPr>
          <w:rFonts w:hint="eastAsia"/>
        </w:rPr>
        <w:t>:</w:t>
      </w:r>
    </w:p>
    <w:p>
      <w:pPr>
        <w:spacing w:afterLines="50" w:line="240" w:lineRule="auto"/>
        <w:jc w:val="left"/>
        <w:rPr>
          <w:b/>
        </w:rPr>
      </w:pPr>
      <w:bookmarkStart w:id="7" w:name="_Toc502437832"/>
      <w:r>
        <w:rPr>
          <w:b/>
        </w:rPr>
        <w:t>Observation 1: Allowing UE autonomous retransmission on different CG configurations would require the gNB to allocated overlapping HARQ process IDs which may cause lots of packet loss.</w:t>
      </w:r>
    </w:p>
    <w:p>
      <w:pPr>
        <w:spacing w:afterLines="50" w:line="240" w:lineRule="auto"/>
        <w:jc w:val="left"/>
        <w:rPr>
          <w:b/>
        </w:rPr>
      </w:pPr>
      <w:r>
        <w:rPr>
          <w:b/>
        </w:rPr>
        <w:t>Observation 2: Allowing UE autonomous retransmission on different CG configurations would require that the TBS(s) of the uplink grants between two CG configurations are identical so as to avoid the packet loss due to MAC PDU re-building.</w:t>
      </w:r>
    </w:p>
    <w:p>
      <w:pPr>
        <w:spacing w:afterLines="50" w:line="240" w:lineRule="auto"/>
        <w:jc w:val="left"/>
        <w:rPr>
          <w:b/>
        </w:rPr>
      </w:pPr>
      <w:r>
        <w:rPr>
          <w:b/>
        </w:rPr>
        <w:t>Observation 3: The current MAC running CR requires the UE to immediately select the next configured grant for autonomous retransmission without considering the PUSCH preparation time.</w:t>
      </w:r>
    </w:p>
    <w:p>
      <w:pPr>
        <w:spacing w:afterLines="50" w:line="240" w:lineRule="auto"/>
        <w:jc w:val="left"/>
        <w:rPr>
          <w:b/>
        </w:rPr>
      </w:pPr>
      <w:r>
        <w:rPr>
          <w:b/>
        </w:rPr>
        <w:t>Proposal 1: The UE autonomous retransmission on different CG configurations is not allowed.</w:t>
      </w:r>
    </w:p>
    <w:p>
      <w:pPr>
        <w:spacing w:afterLines="50" w:line="240" w:lineRule="auto"/>
        <w:jc w:val="left"/>
        <w:rPr>
          <w:b/>
        </w:rPr>
      </w:pPr>
      <w:r>
        <w:rPr>
          <w:b/>
        </w:rPr>
        <w:t>Proposal 2: The UE is only allowed to perform the autonomous retransmission for the deprioritized MAC PDU once.</w:t>
      </w:r>
    </w:p>
    <w:p>
      <w:pPr>
        <w:spacing w:afterLines="50" w:line="240" w:lineRule="auto"/>
        <w:jc w:val="left"/>
        <w:rPr>
          <w:b/>
        </w:rPr>
      </w:pPr>
      <w:r>
        <w:rPr>
          <w:b/>
        </w:rPr>
        <w:t>Proposal 3: The interval between the uplink grant for the autonomous retransmission and the uplink grant of the deprioritized MAC PDU should be equal to or larger than the PUSCH preparation time (i.e. N2) as defined/required in the 38.214.</w:t>
      </w:r>
    </w:p>
    <w:p>
      <w:pPr>
        <w:spacing w:afterLines="50" w:line="240" w:lineRule="auto"/>
        <w:jc w:val="left"/>
        <w:rPr>
          <w:b/>
        </w:rPr>
      </w:pPr>
    </w:p>
    <w:p>
      <w:pPr>
        <w:pStyle w:val="2"/>
        <w:spacing w:before="180" w:line="240" w:lineRule="auto"/>
        <w:ind w:left="0" w:firstLine="0"/>
        <w:jc w:val="left"/>
      </w:pPr>
      <w:r>
        <w:t>Reference</w:t>
      </w:r>
    </w:p>
    <w:bookmarkEnd w:id="7"/>
    <w:p>
      <w:pPr>
        <w:spacing w:afterLines="50" w:line="240" w:lineRule="auto"/>
        <w:jc w:val="left"/>
      </w:pPr>
      <w:r>
        <w:t>[1] RAN2#108 meeting minutes.</w:t>
      </w:r>
    </w:p>
    <w:p>
      <w:pPr>
        <w:spacing w:afterLines="50" w:line="240" w:lineRule="auto"/>
        <w:jc w:val="left"/>
      </w:pPr>
      <w:r>
        <w:t>[2] 3GPP TS 38.214, “NR; Physical layer procedures for data”</w:t>
      </w:r>
    </w:p>
    <w:p>
      <w:pPr>
        <w:spacing w:afterLines="50" w:line="240" w:lineRule="auto"/>
        <w:jc w:val="left"/>
      </w:pPr>
      <w:r>
        <w:t>[3] R2-1916352, Samsung, “</w:t>
      </w:r>
      <w:r>
        <w:rPr>
          <w:rFonts w:hint="eastAsia"/>
          <w:lang w:eastAsia="ko-KR"/>
        </w:rPr>
        <w:t>MAC Running CR for NR IIOT</w:t>
      </w:r>
      <w:r>
        <w:t>”</w:t>
      </w:r>
    </w:p>
    <w:p>
      <w:pPr>
        <w:pStyle w:val="2"/>
        <w:spacing w:before="180" w:line="240" w:lineRule="auto"/>
        <w:ind w:left="0" w:firstLine="0"/>
        <w:jc w:val="left"/>
      </w:pPr>
      <w:r>
        <w:t>Annex A</w:t>
      </w:r>
    </w:p>
    <w:p>
      <w:pPr>
        <w:spacing w:afterLines="50" w:line="240" w:lineRule="auto"/>
        <w:jc w:val="left"/>
      </w:pPr>
      <w:r>
        <w:t>The following texts are extracted from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color w:val="000000"/>
                <w:lang w:val="en-AU"/>
              </w:rPr>
            </w:pPr>
            <w:r>
              <w:rPr>
                <w:color w:val="000000"/>
                <w:lang w:val="en-AU"/>
              </w:rPr>
              <w:t xml:space="preserve">The value of </w:t>
            </w:r>
            <w:r>
              <w:rPr>
                <w:color w:val="000000"/>
                <w:position w:val="-14"/>
              </w:rPr>
              <w:object>
                <v:shape id="_x0000_i1025" o:spt="75" type="#_x0000_t75" style="height:14.25pt;width:28.4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color w:val="000000"/>
              </w:rPr>
              <w:t xml:space="preserve"> </w:t>
            </w:r>
            <w:r>
              <w:rPr>
                <w:color w:val="000000"/>
                <w:lang w:val="en-AU"/>
              </w:rPr>
              <w:t>is used both in the case of normal and extended cyclic prefix.</w:t>
            </w:r>
          </w:p>
          <w:p>
            <w:pPr>
              <w:pStyle w:val="80"/>
              <w:rPr>
                <w:i/>
                <w:color w:val="000000"/>
              </w:rPr>
            </w:pPr>
            <w:r>
              <w:rPr>
                <w:color w:val="000000"/>
              </w:rPr>
              <w:t>Table 6.4-1: PUSCH preparation time for PUSCH timing capability 1</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4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vAlign w:val="center"/>
                </w:tcPr>
                <w:p>
                  <w:pPr>
                    <w:pStyle w:val="50"/>
                    <w:rPr>
                      <w:rFonts w:eastAsia="Batang"/>
                      <w:color w:val="000000"/>
                    </w:rPr>
                  </w:pPr>
                  <w:r>
                    <w:rPr>
                      <w:rFonts w:eastAsia="Batang"/>
                      <w:color w:val="000000"/>
                      <w:position w:val="-8"/>
                    </w:rPr>
                    <w:object>
                      <v:shape id="_x0000_i1026" o:spt="75" type="#_x0000_t75" style="height:14.25pt;width:14.2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4165" w:type="dxa"/>
                  <w:shd w:val="clear" w:color="auto" w:fill="auto"/>
                </w:tcPr>
                <w:p>
                  <w:pPr>
                    <w:pStyle w:val="85"/>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50"/>
                    <w:rPr>
                      <w:rFonts w:eastAsia="Batang"/>
                      <w:color w:val="000000"/>
                    </w:rPr>
                  </w:pPr>
                  <w:r>
                    <w:rPr>
                      <w:rFonts w:eastAsia="Batang"/>
                      <w:color w:val="000000"/>
                    </w:rPr>
                    <w:t>0</w:t>
                  </w:r>
                </w:p>
              </w:tc>
              <w:tc>
                <w:tcPr>
                  <w:tcW w:w="4165" w:type="dxa"/>
                  <w:shd w:val="clear" w:color="auto" w:fill="auto"/>
                </w:tcPr>
                <w:p>
                  <w:pPr>
                    <w:pStyle w:val="50"/>
                    <w:rPr>
                      <w:rFonts w:eastAsia="Batang"/>
                      <w:color w:val="000000"/>
                    </w:rPr>
                  </w:pPr>
                  <w:r>
                    <w:rPr>
                      <w:rFonts w:eastAsia="Batang"/>
                      <w:color w:val="00000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50"/>
                    <w:rPr>
                      <w:rFonts w:eastAsia="Batang"/>
                      <w:color w:val="000000"/>
                    </w:rPr>
                  </w:pPr>
                  <w:r>
                    <w:rPr>
                      <w:rFonts w:eastAsia="Batang"/>
                      <w:color w:val="000000"/>
                    </w:rPr>
                    <w:t>1</w:t>
                  </w:r>
                </w:p>
              </w:tc>
              <w:tc>
                <w:tcPr>
                  <w:tcW w:w="4165" w:type="dxa"/>
                  <w:shd w:val="clear" w:color="auto" w:fill="auto"/>
                </w:tcPr>
                <w:p>
                  <w:pPr>
                    <w:pStyle w:val="50"/>
                    <w:rPr>
                      <w:rFonts w:eastAsia="Batang"/>
                      <w:color w:val="000000"/>
                    </w:rPr>
                  </w:pPr>
                  <w:r>
                    <w:rPr>
                      <w:rFonts w:eastAsia="Batang"/>
                      <w:color w:val="00000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50"/>
                    <w:rPr>
                      <w:rFonts w:eastAsia="Batang"/>
                      <w:color w:val="000000"/>
                    </w:rPr>
                  </w:pPr>
                  <w:r>
                    <w:rPr>
                      <w:rFonts w:eastAsia="Batang"/>
                      <w:color w:val="000000"/>
                    </w:rPr>
                    <w:t>2</w:t>
                  </w:r>
                </w:p>
              </w:tc>
              <w:tc>
                <w:tcPr>
                  <w:tcW w:w="4165" w:type="dxa"/>
                  <w:shd w:val="clear" w:color="auto" w:fill="auto"/>
                </w:tcPr>
                <w:p>
                  <w:pPr>
                    <w:pStyle w:val="50"/>
                    <w:rPr>
                      <w:rFonts w:eastAsia="Batang"/>
                      <w:color w:val="000000"/>
                    </w:rPr>
                  </w:pPr>
                  <w:r>
                    <w:rPr>
                      <w:rFonts w:eastAsia="Batang"/>
                      <w:color w:val="00000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50"/>
                    <w:rPr>
                      <w:rFonts w:eastAsia="Batang"/>
                      <w:color w:val="000000"/>
                    </w:rPr>
                  </w:pPr>
                  <w:r>
                    <w:rPr>
                      <w:rFonts w:eastAsia="Batang"/>
                      <w:color w:val="000000"/>
                    </w:rPr>
                    <w:t>3</w:t>
                  </w:r>
                </w:p>
              </w:tc>
              <w:tc>
                <w:tcPr>
                  <w:tcW w:w="4165" w:type="dxa"/>
                  <w:shd w:val="clear" w:color="auto" w:fill="auto"/>
                </w:tcPr>
                <w:p>
                  <w:pPr>
                    <w:pStyle w:val="50"/>
                    <w:rPr>
                      <w:rFonts w:eastAsia="Batang"/>
                      <w:color w:val="000000"/>
                    </w:rPr>
                  </w:pPr>
                  <w:r>
                    <w:rPr>
                      <w:rFonts w:eastAsia="Batang"/>
                      <w:color w:val="000000"/>
                    </w:rPr>
                    <w:t>36</w:t>
                  </w:r>
                </w:p>
              </w:tc>
            </w:tr>
          </w:tbl>
          <w:p>
            <w:pPr>
              <w:rPr>
                <w:color w:val="000000"/>
              </w:rPr>
            </w:pPr>
          </w:p>
          <w:p>
            <w:pPr>
              <w:pStyle w:val="80"/>
              <w:rPr>
                <w:i/>
                <w:color w:val="000000"/>
              </w:rPr>
            </w:pPr>
            <w:r>
              <w:rPr>
                <w:color w:val="000000"/>
              </w:rPr>
              <w:t>Table 6.4-2: PUSCH preparation time for PUSCH timing capability 2</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4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vAlign w:val="center"/>
                </w:tcPr>
                <w:p>
                  <w:pPr>
                    <w:pStyle w:val="50"/>
                    <w:rPr>
                      <w:rFonts w:eastAsia="Batang"/>
                      <w:color w:val="000000"/>
                    </w:rPr>
                  </w:pPr>
                  <w:r>
                    <w:rPr>
                      <w:rFonts w:eastAsia="Batang"/>
                      <w:color w:val="000000"/>
                      <w:position w:val="-8"/>
                    </w:rPr>
                    <w:object>
                      <v:shape id="_x0000_i1027" o:spt="75" type="#_x0000_t75" style="height:14.25pt;width:14.2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9">
                        <o:LockedField>false</o:LockedField>
                      </o:OLEObject>
                    </w:object>
                  </w:r>
                </w:p>
              </w:tc>
              <w:tc>
                <w:tcPr>
                  <w:tcW w:w="4165" w:type="dxa"/>
                  <w:shd w:val="clear" w:color="auto" w:fill="auto"/>
                </w:tcPr>
                <w:p>
                  <w:pPr>
                    <w:pStyle w:val="85"/>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50"/>
                    <w:rPr>
                      <w:rFonts w:eastAsia="Batang"/>
                      <w:color w:val="000000"/>
                    </w:rPr>
                  </w:pPr>
                  <w:r>
                    <w:rPr>
                      <w:rFonts w:eastAsia="Batang"/>
                      <w:color w:val="000000"/>
                    </w:rPr>
                    <w:t>0</w:t>
                  </w:r>
                </w:p>
              </w:tc>
              <w:tc>
                <w:tcPr>
                  <w:tcW w:w="4165" w:type="dxa"/>
                  <w:shd w:val="clear" w:color="auto" w:fill="auto"/>
                </w:tcPr>
                <w:p>
                  <w:pPr>
                    <w:pStyle w:val="50"/>
                    <w:rPr>
                      <w:rFonts w:eastAsia="Batang"/>
                      <w:color w:val="000000"/>
                    </w:rPr>
                  </w:pPr>
                  <w:r>
                    <w:rPr>
                      <w:rFonts w:eastAsia="Batang"/>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50"/>
                    <w:rPr>
                      <w:rFonts w:eastAsia="Batang"/>
                      <w:color w:val="000000"/>
                    </w:rPr>
                  </w:pPr>
                  <w:r>
                    <w:rPr>
                      <w:rFonts w:eastAsia="Batang"/>
                      <w:color w:val="000000"/>
                    </w:rPr>
                    <w:t>1</w:t>
                  </w:r>
                </w:p>
              </w:tc>
              <w:tc>
                <w:tcPr>
                  <w:tcW w:w="4165" w:type="dxa"/>
                  <w:shd w:val="clear" w:color="auto" w:fill="auto"/>
                </w:tcPr>
                <w:p>
                  <w:pPr>
                    <w:pStyle w:val="50"/>
                    <w:rPr>
                      <w:rFonts w:eastAsia="Batang"/>
                      <w:color w:val="000000"/>
                    </w:rPr>
                  </w:pPr>
                  <w:r>
                    <w:rPr>
                      <w:rFonts w:eastAsia="Batang"/>
                      <w:color w:val="000000"/>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50"/>
                    <w:rPr>
                      <w:rFonts w:eastAsia="Batang"/>
                      <w:color w:val="000000"/>
                    </w:rPr>
                  </w:pPr>
                  <w:r>
                    <w:rPr>
                      <w:rFonts w:eastAsia="Batang"/>
                      <w:color w:val="000000"/>
                    </w:rPr>
                    <w:t>2</w:t>
                  </w:r>
                </w:p>
              </w:tc>
              <w:tc>
                <w:tcPr>
                  <w:tcW w:w="4165" w:type="dxa"/>
                  <w:shd w:val="clear" w:color="auto" w:fill="auto"/>
                </w:tcPr>
                <w:p>
                  <w:pPr>
                    <w:pStyle w:val="50"/>
                    <w:rPr>
                      <w:rFonts w:eastAsia="Batang"/>
                      <w:color w:val="000000"/>
                    </w:rPr>
                  </w:pPr>
                  <w:r>
                    <w:rPr>
                      <w:rFonts w:eastAsia="Batang"/>
                      <w:color w:val="000000"/>
                    </w:rPr>
                    <w:t>11 for frequency range 1</w:t>
                  </w:r>
                </w:p>
              </w:tc>
            </w:tr>
          </w:tbl>
          <w:p>
            <w:pPr>
              <w:spacing w:afterLines="50" w:line="240" w:lineRule="auto"/>
              <w:jc w:val="left"/>
            </w:pPr>
          </w:p>
        </w:tc>
      </w:tr>
    </w:tbl>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820"/>
        <w:tab w:val="right" w:pos="9639"/>
      </w:tabs>
      <w:jc w:val="left"/>
    </w:pPr>
    <w:r>
      <w:rPr>
        <w:rStyle w:val="25"/>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CAA"/>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6B31"/>
    <w:rsid w:val="000073F2"/>
    <w:rsid w:val="00007DDA"/>
    <w:rsid w:val="0001015D"/>
    <w:rsid w:val="000103B4"/>
    <w:rsid w:val="0001078A"/>
    <w:rsid w:val="0001126E"/>
    <w:rsid w:val="00011C1B"/>
    <w:rsid w:val="000127B4"/>
    <w:rsid w:val="00012F38"/>
    <w:rsid w:val="000136FE"/>
    <w:rsid w:val="0001380D"/>
    <w:rsid w:val="00013A3B"/>
    <w:rsid w:val="00013C76"/>
    <w:rsid w:val="00013F61"/>
    <w:rsid w:val="000143D0"/>
    <w:rsid w:val="000154C5"/>
    <w:rsid w:val="000167B4"/>
    <w:rsid w:val="000168B4"/>
    <w:rsid w:val="000168F5"/>
    <w:rsid w:val="00016AAF"/>
    <w:rsid w:val="00016D91"/>
    <w:rsid w:val="000178FF"/>
    <w:rsid w:val="00017AAC"/>
    <w:rsid w:val="000201BE"/>
    <w:rsid w:val="000201F5"/>
    <w:rsid w:val="000202F6"/>
    <w:rsid w:val="00021438"/>
    <w:rsid w:val="0002174B"/>
    <w:rsid w:val="00021EC9"/>
    <w:rsid w:val="0002330B"/>
    <w:rsid w:val="00023408"/>
    <w:rsid w:val="000239A0"/>
    <w:rsid w:val="00023FAD"/>
    <w:rsid w:val="0002406F"/>
    <w:rsid w:val="0002513D"/>
    <w:rsid w:val="0002533E"/>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4A"/>
    <w:rsid w:val="00060C87"/>
    <w:rsid w:val="00060E84"/>
    <w:rsid w:val="000616AB"/>
    <w:rsid w:val="000619CD"/>
    <w:rsid w:val="00061FED"/>
    <w:rsid w:val="00062AF0"/>
    <w:rsid w:val="000632EE"/>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9D1"/>
    <w:rsid w:val="00075EB2"/>
    <w:rsid w:val="000761EB"/>
    <w:rsid w:val="000762F4"/>
    <w:rsid w:val="00076D3C"/>
    <w:rsid w:val="00076EC4"/>
    <w:rsid w:val="00077E34"/>
    <w:rsid w:val="00077EE0"/>
    <w:rsid w:val="000803A0"/>
    <w:rsid w:val="00080AE7"/>
    <w:rsid w:val="00082C74"/>
    <w:rsid w:val="00083ABC"/>
    <w:rsid w:val="00083BD2"/>
    <w:rsid w:val="00083C4D"/>
    <w:rsid w:val="00083DF9"/>
    <w:rsid w:val="00083E8A"/>
    <w:rsid w:val="00084367"/>
    <w:rsid w:val="00086B41"/>
    <w:rsid w:val="00086FB4"/>
    <w:rsid w:val="00087707"/>
    <w:rsid w:val="00090031"/>
    <w:rsid w:val="000902B7"/>
    <w:rsid w:val="00090B25"/>
    <w:rsid w:val="00090CFA"/>
    <w:rsid w:val="00090DFC"/>
    <w:rsid w:val="00091492"/>
    <w:rsid w:val="00091792"/>
    <w:rsid w:val="0009216B"/>
    <w:rsid w:val="00092B36"/>
    <w:rsid w:val="00093179"/>
    <w:rsid w:val="00093671"/>
    <w:rsid w:val="00093B7E"/>
    <w:rsid w:val="00095C57"/>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51E"/>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A6F"/>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2D3"/>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60DF"/>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303"/>
    <w:rsid w:val="000F6884"/>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EE8"/>
    <w:rsid w:val="00110F82"/>
    <w:rsid w:val="001110CD"/>
    <w:rsid w:val="00111B28"/>
    <w:rsid w:val="001122DB"/>
    <w:rsid w:val="00112478"/>
    <w:rsid w:val="001127AE"/>
    <w:rsid w:val="00112864"/>
    <w:rsid w:val="001128D2"/>
    <w:rsid w:val="00112A86"/>
    <w:rsid w:val="00112BA4"/>
    <w:rsid w:val="00112D9F"/>
    <w:rsid w:val="00112E0B"/>
    <w:rsid w:val="00113507"/>
    <w:rsid w:val="001141C8"/>
    <w:rsid w:val="00114657"/>
    <w:rsid w:val="00114731"/>
    <w:rsid w:val="00114C43"/>
    <w:rsid w:val="00115666"/>
    <w:rsid w:val="00115741"/>
    <w:rsid w:val="00115BDD"/>
    <w:rsid w:val="00115EBC"/>
    <w:rsid w:val="001173C2"/>
    <w:rsid w:val="001178C8"/>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6F0F"/>
    <w:rsid w:val="00127607"/>
    <w:rsid w:val="00130B10"/>
    <w:rsid w:val="00130C36"/>
    <w:rsid w:val="00130E2A"/>
    <w:rsid w:val="0013120D"/>
    <w:rsid w:val="001318FB"/>
    <w:rsid w:val="0013301C"/>
    <w:rsid w:val="0013318C"/>
    <w:rsid w:val="00133DB6"/>
    <w:rsid w:val="001365FC"/>
    <w:rsid w:val="00136B64"/>
    <w:rsid w:val="00136DEF"/>
    <w:rsid w:val="0013795E"/>
    <w:rsid w:val="00137D3A"/>
    <w:rsid w:val="001402B9"/>
    <w:rsid w:val="00140725"/>
    <w:rsid w:val="00140C5D"/>
    <w:rsid w:val="00141482"/>
    <w:rsid w:val="00141F63"/>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6A78"/>
    <w:rsid w:val="001572D6"/>
    <w:rsid w:val="001578BF"/>
    <w:rsid w:val="001607AD"/>
    <w:rsid w:val="00160F5E"/>
    <w:rsid w:val="00161188"/>
    <w:rsid w:val="00161284"/>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341"/>
    <w:rsid w:val="0016746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3C9"/>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CAF"/>
    <w:rsid w:val="00186EE1"/>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5FDD"/>
    <w:rsid w:val="00196949"/>
    <w:rsid w:val="00196EEE"/>
    <w:rsid w:val="001975F3"/>
    <w:rsid w:val="001A01BE"/>
    <w:rsid w:val="001A0290"/>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0C26"/>
    <w:rsid w:val="001B409E"/>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361F"/>
    <w:rsid w:val="001E4112"/>
    <w:rsid w:val="001E42F9"/>
    <w:rsid w:val="001E444F"/>
    <w:rsid w:val="001E49C4"/>
    <w:rsid w:val="001E594F"/>
    <w:rsid w:val="001E5BD2"/>
    <w:rsid w:val="001E5D70"/>
    <w:rsid w:val="001E5E4F"/>
    <w:rsid w:val="001E6B42"/>
    <w:rsid w:val="001E6C0B"/>
    <w:rsid w:val="001E6FF3"/>
    <w:rsid w:val="001E7FE1"/>
    <w:rsid w:val="001F0B1A"/>
    <w:rsid w:val="001F1227"/>
    <w:rsid w:val="001F16E7"/>
    <w:rsid w:val="001F224A"/>
    <w:rsid w:val="001F321D"/>
    <w:rsid w:val="001F3538"/>
    <w:rsid w:val="001F36A7"/>
    <w:rsid w:val="001F3A9D"/>
    <w:rsid w:val="001F40A7"/>
    <w:rsid w:val="001F428F"/>
    <w:rsid w:val="001F44D4"/>
    <w:rsid w:val="001F4C4A"/>
    <w:rsid w:val="001F62F7"/>
    <w:rsid w:val="001F6AED"/>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32A5"/>
    <w:rsid w:val="00214A8A"/>
    <w:rsid w:val="0021512C"/>
    <w:rsid w:val="00215243"/>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830"/>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3D04"/>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252"/>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226F"/>
    <w:rsid w:val="00282505"/>
    <w:rsid w:val="00282740"/>
    <w:rsid w:val="0028294A"/>
    <w:rsid w:val="002829D8"/>
    <w:rsid w:val="0028382F"/>
    <w:rsid w:val="00283BA3"/>
    <w:rsid w:val="00283CB6"/>
    <w:rsid w:val="00284371"/>
    <w:rsid w:val="002843C9"/>
    <w:rsid w:val="00285685"/>
    <w:rsid w:val="00286563"/>
    <w:rsid w:val="002866C8"/>
    <w:rsid w:val="002905F3"/>
    <w:rsid w:val="00290744"/>
    <w:rsid w:val="002907AA"/>
    <w:rsid w:val="002907C3"/>
    <w:rsid w:val="00290FFF"/>
    <w:rsid w:val="002918E6"/>
    <w:rsid w:val="002919E4"/>
    <w:rsid w:val="00291BCD"/>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26"/>
    <w:rsid w:val="002A64A9"/>
    <w:rsid w:val="002A6AD0"/>
    <w:rsid w:val="002A6ADD"/>
    <w:rsid w:val="002A6B05"/>
    <w:rsid w:val="002A7828"/>
    <w:rsid w:val="002B00BB"/>
    <w:rsid w:val="002B01D2"/>
    <w:rsid w:val="002B0452"/>
    <w:rsid w:val="002B0886"/>
    <w:rsid w:val="002B0FF4"/>
    <w:rsid w:val="002B1073"/>
    <w:rsid w:val="002B14FA"/>
    <w:rsid w:val="002B1971"/>
    <w:rsid w:val="002B1ADD"/>
    <w:rsid w:val="002B1F4B"/>
    <w:rsid w:val="002B260C"/>
    <w:rsid w:val="002B2F91"/>
    <w:rsid w:val="002B49DD"/>
    <w:rsid w:val="002B5314"/>
    <w:rsid w:val="002B5CCF"/>
    <w:rsid w:val="002B5DBF"/>
    <w:rsid w:val="002B5ED3"/>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3F5"/>
    <w:rsid w:val="002C740F"/>
    <w:rsid w:val="002D01AB"/>
    <w:rsid w:val="002D0297"/>
    <w:rsid w:val="002D0789"/>
    <w:rsid w:val="002D148E"/>
    <w:rsid w:val="002D16FA"/>
    <w:rsid w:val="002D19C2"/>
    <w:rsid w:val="002D1D15"/>
    <w:rsid w:val="002D1D36"/>
    <w:rsid w:val="002D2126"/>
    <w:rsid w:val="002D2171"/>
    <w:rsid w:val="002D2A1F"/>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3F79"/>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0FDB"/>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1CF5"/>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2AE0"/>
    <w:rsid w:val="003132E9"/>
    <w:rsid w:val="003135F1"/>
    <w:rsid w:val="00314282"/>
    <w:rsid w:val="003142FB"/>
    <w:rsid w:val="00314666"/>
    <w:rsid w:val="0031490E"/>
    <w:rsid w:val="003149CC"/>
    <w:rsid w:val="00314B40"/>
    <w:rsid w:val="003162E0"/>
    <w:rsid w:val="003167FE"/>
    <w:rsid w:val="00316DDA"/>
    <w:rsid w:val="00317CA7"/>
    <w:rsid w:val="00320443"/>
    <w:rsid w:val="00320E12"/>
    <w:rsid w:val="00320E6C"/>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01C"/>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6774"/>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6C05"/>
    <w:rsid w:val="003773F3"/>
    <w:rsid w:val="003779E6"/>
    <w:rsid w:val="00380296"/>
    <w:rsid w:val="00380940"/>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755"/>
    <w:rsid w:val="00390E42"/>
    <w:rsid w:val="00391B1D"/>
    <w:rsid w:val="00391F0D"/>
    <w:rsid w:val="0039231A"/>
    <w:rsid w:val="00392784"/>
    <w:rsid w:val="00392ABE"/>
    <w:rsid w:val="00392B8C"/>
    <w:rsid w:val="0039300F"/>
    <w:rsid w:val="003931A7"/>
    <w:rsid w:val="00393353"/>
    <w:rsid w:val="00393A4A"/>
    <w:rsid w:val="00393B49"/>
    <w:rsid w:val="00394601"/>
    <w:rsid w:val="00394836"/>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1A3"/>
    <w:rsid w:val="003A44CD"/>
    <w:rsid w:val="003A5349"/>
    <w:rsid w:val="003A6270"/>
    <w:rsid w:val="003A6FF8"/>
    <w:rsid w:val="003A721D"/>
    <w:rsid w:val="003A7783"/>
    <w:rsid w:val="003B039C"/>
    <w:rsid w:val="003B1429"/>
    <w:rsid w:val="003B18C2"/>
    <w:rsid w:val="003B1A82"/>
    <w:rsid w:val="003B1EBD"/>
    <w:rsid w:val="003B2547"/>
    <w:rsid w:val="003B2D97"/>
    <w:rsid w:val="003B2E6E"/>
    <w:rsid w:val="003B3865"/>
    <w:rsid w:val="003B3A6E"/>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2915"/>
    <w:rsid w:val="003D37E6"/>
    <w:rsid w:val="003D5433"/>
    <w:rsid w:val="003D5A84"/>
    <w:rsid w:val="003D629F"/>
    <w:rsid w:val="003D6376"/>
    <w:rsid w:val="003D637A"/>
    <w:rsid w:val="003D7393"/>
    <w:rsid w:val="003D74B2"/>
    <w:rsid w:val="003D7718"/>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AA4"/>
    <w:rsid w:val="003E2FB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4A02"/>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86A"/>
    <w:rsid w:val="00415A6E"/>
    <w:rsid w:val="00417690"/>
    <w:rsid w:val="00417901"/>
    <w:rsid w:val="00417A7D"/>
    <w:rsid w:val="00417B1D"/>
    <w:rsid w:val="00417F08"/>
    <w:rsid w:val="004200D6"/>
    <w:rsid w:val="00420B18"/>
    <w:rsid w:val="00420FD7"/>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08"/>
    <w:rsid w:val="00433A36"/>
    <w:rsid w:val="00434908"/>
    <w:rsid w:val="00434A7C"/>
    <w:rsid w:val="00434A8A"/>
    <w:rsid w:val="00434EDA"/>
    <w:rsid w:val="00435358"/>
    <w:rsid w:val="00435730"/>
    <w:rsid w:val="00435AE7"/>
    <w:rsid w:val="00436E5C"/>
    <w:rsid w:val="00436F4B"/>
    <w:rsid w:val="004378FF"/>
    <w:rsid w:val="004379BA"/>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554C"/>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9F1"/>
    <w:rsid w:val="00461DC9"/>
    <w:rsid w:val="0046227B"/>
    <w:rsid w:val="00462775"/>
    <w:rsid w:val="00463094"/>
    <w:rsid w:val="004630F2"/>
    <w:rsid w:val="00463C46"/>
    <w:rsid w:val="00464193"/>
    <w:rsid w:val="00464938"/>
    <w:rsid w:val="00464BEE"/>
    <w:rsid w:val="0046506F"/>
    <w:rsid w:val="00465227"/>
    <w:rsid w:val="00465755"/>
    <w:rsid w:val="004661C2"/>
    <w:rsid w:val="00466615"/>
    <w:rsid w:val="00466681"/>
    <w:rsid w:val="004667D7"/>
    <w:rsid w:val="00466F44"/>
    <w:rsid w:val="00467C9D"/>
    <w:rsid w:val="00467DC5"/>
    <w:rsid w:val="00470640"/>
    <w:rsid w:val="00471181"/>
    <w:rsid w:val="00471F0B"/>
    <w:rsid w:val="0047205F"/>
    <w:rsid w:val="00472304"/>
    <w:rsid w:val="0047245C"/>
    <w:rsid w:val="00472550"/>
    <w:rsid w:val="00472CCD"/>
    <w:rsid w:val="00472F70"/>
    <w:rsid w:val="00473415"/>
    <w:rsid w:val="00474104"/>
    <w:rsid w:val="00474332"/>
    <w:rsid w:val="0047437A"/>
    <w:rsid w:val="0047533B"/>
    <w:rsid w:val="00475504"/>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00A"/>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19F7"/>
    <w:rsid w:val="004B3676"/>
    <w:rsid w:val="004B3699"/>
    <w:rsid w:val="004B37D8"/>
    <w:rsid w:val="004B3CC7"/>
    <w:rsid w:val="004B5A11"/>
    <w:rsid w:val="004B6241"/>
    <w:rsid w:val="004B665E"/>
    <w:rsid w:val="004B7DE1"/>
    <w:rsid w:val="004C05D5"/>
    <w:rsid w:val="004C07CE"/>
    <w:rsid w:val="004C1433"/>
    <w:rsid w:val="004C15F8"/>
    <w:rsid w:val="004C1678"/>
    <w:rsid w:val="004C23BC"/>
    <w:rsid w:val="004C359D"/>
    <w:rsid w:val="004C3B9D"/>
    <w:rsid w:val="004C4787"/>
    <w:rsid w:val="004C480E"/>
    <w:rsid w:val="004C57A0"/>
    <w:rsid w:val="004C5E94"/>
    <w:rsid w:val="004C5FE7"/>
    <w:rsid w:val="004C66FF"/>
    <w:rsid w:val="004C67BB"/>
    <w:rsid w:val="004C6FE6"/>
    <w:rsid w:val="004D02F2"/>
    <w:rsid w:val="004D16B2"/>
    <w:rsid w:val="004D1B12"/>
    <w:rsid w:val="004D29E5"/>
    <w:rsid w:val="004D2CF0"/>
    <w:rsid w:val="004D3335"/>
    <w:rsid w:val="004D3F4A"/>
    <w:rsid w:val="004D418F"/>
    <w:rsid w:val="004D41F0"/>
    <w:rsid w:val="004D4479"/>
    <w:rsid w:val="004D49C5"/>
    <w:rsid w:val="004D5353"/>
    <w:rsid w:val="004D5F50"/>
    <w:rsid w:val="004E0148"/>
    <w:rsid w:val="004E06F5"/>
    <w:rsid w:val="004E0C72"/>
    <w:rsid w:val="004E0EF9"/>
    <w:rsid w:val="004E1050"/>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0C4"/>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0EC9"/>
    <w:rsid w:val="00521AF0"/>
    <w:rsid w:val="00521C1F"/>
    <w:rsid w:val="00522A4C"/>
    <w:rsid w:val="00523073"/>
    <w:rsid w:val="00523097"/>
    <w:rsid w:val="005230A0"/>
    <w:rsid w:val="005232C9"/>
    <w:rsid w:val="00523D6B"/>
    <w:rsid w:val="0052439D"/>
    <w:rsid w:val="0052450D"/>
    <w:rsid w:val="00525C15"/>
    <w:rsid w:val="0052601F"/>
    <w:rsid w:val="00526436"/>
    <w:rsid w:val="00526783"/>
    <w:rsid w:val="0052682E"/>
    <w:rsid w:val="0052724F"/>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37B45"/>
    <w:rsid w:val="00540512"/>
    <w:rsid w:val="005407EF"/>
    <w:rsid w:val="00540A78"/>
    <w:rsid w:val="00540BF1"/>
    <w:rsid w:val="00541B12"/>
    <w:rsid w:val="00542118"/>
    <w:rsid w:val="0054244B"/>
    <w:rsid w:val="005426DD"/>
    <w:rsid w:val="00542D7A"/>
    <w:rsid w:val="005430A3"/>
    <w:rsid w:val="00543C57"/>
    <w:rsid w:val="00543CBE"/>
    <w:rsid w:val="00543E8F"/>
    <w:rsid w:val="00545BA6"/>
    <w:rsid w:val="005469BF"/>
    <w:rsid w:val="00547BAB"/>
    <w:rsid w:val="00547CAD"/>
    <w:rsid w:val="00547EFE"/>
    <w:rsid w:val="0055042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4F28"/>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C59"/>
    <w:rsid w:val="00577FA2"/>
    <w:rsid w:val="00580928"/>
    <w:rsid w:val="00580BB8"/>
    <w:rsid w:val="00582812"/>
    <w:rsid w:val="00582D24"/>
    <w:rsid w:val="00582E1E"/>
    <w:rsid w:val="00583B51"/>
    <w:rsid w:val="00583E1C"/>
    <w:rsid w:val="00584407"/>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15A"/>
    <w:rsid w:val="005A3C0E"/>
    <w:rsid w:val="005A4398"/>
    <w:rsid w:val="005A4774"/>
    <w:rsid w:val="005A519E"/>
    <w:rsid w:val="005A54E4"/>
    <w:rsid w:val="005A5C54"/>
    <w:rsid w:val="005A656C"/>
    <w:rsid w:val="005A6892"/>
    <w:rsid w:val="005A6FB5"/>
    <w:rsid w:val="005A7AC4"/>
    <w:rsid w:val="005B0467"/>
    <w:rsid w:val="005B07A5"/>
    <w:rsid w:val="005B0AA6"/>
    <w:rsid w:val="005B10E0"/>
    <w:rsid w:val="005B2E06"/>
    <w:rsid w:val="005B2E6A"/>
    <w:rsid w:val="005B3707"/>
    <w:rsid w:val="005B4B1F"/>
    <w:rsid w:val="005B587D"/>
    <w:rsid w:val="005B665B"/>
    <w:rsid w:val="005B6739"/>
    <w:rsid w:val="005B6E64"/>
    <w:rsid w:val="005B7594"/>
    <w:rsid w:val="005C081E"/>
    <w:rsid w:val="005C0DD3"/>
    <w:rsid w:val="005C145B"/>
    <w:rsid w:val="005C1915"/>
    <w:rsid w:val="005C207D"/>
    <w:rsid w:val="005C2773"/>
    <w:rsid w:val="005C2933"/>
    <w:rsid w:val="005C2AA9"/>
    <w:rsid w:val="005C2FDD"/>
    <w:rsid w:val="005C31CF"/>
    <w:rsid w:val="005C334D"/>
    <w:rsid w:val="005C4103"/>
    <w:rsid w:val="005C4885"/>
    <w:rsid w:val="005C4B21"/>
    <w:rsid w:val="005C4E97"/>
    <w:rsid w:val="005C52F7"/>
    <w:rsid w:val="005C562D"/>
    <w:rsid w:val="005C5902"/>
    <w:rsid w:val="005C5D01"/>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C4F"/>
    <w:rsid w:val="005E2DF2"/>
    <w:rsid w:val="005E32BE"/>
    <w:rsid w:val="005E4838"/>
    <w:rsid w:val="005E4DC0"/>
    <w:rsid w:val="005E55BD"/>
    <w:rsid w:val="005E67D4"/>
    <w:rsid w:val="005E7B63"/>
    <w:rsid w:val="005F0017"/>
    <w:rsid w:val="005F01EC"/>
    <w:rsid w:val="005F046B"/>
    <w:rsid w:val="005F09CD"/>
    <w:rsid w:val="005F15EE"/>
    <w:rsid w:val="005F1B82"/>
    <w:rsid w:val="005F1CD9"/>
    <w:rsid w:val="005F21FF"/>
    <w:rsid w:val="005F24FE"/>
    <w:rsid w:val="005F2BEC"/>
    <w:rsid w:val="005F2DBC"/>
    <w:rsid w:val="005F2E35"/>
    <w:rsid w:val="005F3557"/>
    <w:rsid w:val="005F3C87"/>
    <w:rsid w:val="005F58E6"/>
    <w:rsid w:val="005F5B65"/>
    <w:rsid w:val="005F62DC"/>
    <w:rsid w:val="005F6811"/>
    <w:rsid w:val="00600490"/>
    <w:rsid w:val="006008AE"/>
    <w:rsid w:val="00601C18"/>
    <w:rsid w:val="00602A51"/>
    <w:rsid w:val="006030EA"/>
    <w:rsid w:val="00603DDD"/>
    <w:rsid w:val="00603EEF"/>
    <w:rsid w:val="006045A6"/>
    <w:rsid w:val="00604818"/>
    <w:rsid w:val="006058A6"/>
    <w:rsid w:val="00606096"/>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6D10"/>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4E0F"/>
    <w:rsid w:val="00654E74"/>
    <w:rsid w:val="006553F6"/>
    <w:rsid w:val="00655D45"/>
    <w:rsid w:val="00655F2B"/>
    <w:rsid w:val="0065605A"/>
    <w:rsid w:val="00656311"/>
    <w:rsid w:val="0065649C"/>
    <w:rsid w:val="006564C7"/>
    <w:rsid w:val="00656864"/>
    <w:rsid w:val="00656878"/>
    <w:rsid w:val="00656DD8"/>
    <w:rsid w:val="00657563"/>
    <w:rsid w:val="00660C97"/>
    <w:rsid w:val="00660D3D"/>
    <w:rsid w:val="00660D5E"/>
    <w:rsid w:val="00660EC7"/>
    <w:rsid w:val="00660FBB"/>
    <w:rsid w:val="00661B0E"/>
    <w:rsid w:val="00661B43"/>
    <w:rsid w:val="00661B9E"/>
    <w:rsid w:val="006622AF"/>
    <w:rsid w:val="006622C7"/>
    <w:rsid w:val="006625C8"/>
    <w:rsid w:val="00662C1F"/>
    <w:rsid w:val="00662E04"/>
    <w:rsid w:val="006632FA"/>
    <w:rsid w:val="006636CD"/>
    <w:rsid w:val="0066488A"/>
    <w:rsid w:val="00664E33"/>
    <w:rsid w:val="006657CD"/>
    <w:rsid w:val="00666261"/>
    <w:rsid w:val="006672D8"/>
    <w:rsid w:val="00667EFB"/>
    <w:rsid w:val="00670674"/>
    <w:rsid w:val="00670D98"/>
    <w:rsid w:val="006710C3"/>
    <w:rsid w:val="006712E6"/>
    <w:rsid w:val="00671776"/>
    <w:rsid w:val="00671A5E"/>
    <w:rsid w:val="00671F1A"/>
    <w:rsid w:val="006736E2"/>
    <w:rsid w:val="0067389F"/>
    <w:rsid w:val="00674587"/>
    <w:rsid w:val="00674626"/>
    <w:rsid w:val="00674700"/>
    <w:rsid w:val="006748C8"/>
    <w:rsid w:val="00674B92"/>
    <w:rsid w:val="00675615"/>
    <w:rsid w:val="006768EA"/>
    <w:rsid w:val="00676E80"/>
    <w:rsid w:val="00677265"/>
    <w:rsid w:val="00677985"/>
    <w:rsid w:val="00677AD8"/>
    <w:rsid w:val="0068024F"/>
    <w:rsid w:val="006802D0"/>
    <w:rsid w:val="00680872"/>
    <w:rsid w:val="00680C3C"/>
    <w:rsid w:val="00680C9A"/>
    <w:rsid w:val="00680E05"/>
    <w:rsid w:val="006814D8"/>
    <w:rsid w:val="00681536"/>
    <w:rsid w:val="006815AF"/>
    <w:rsid w:val="00681946"/>
    <w:rsid w:val="00681F89"/>
    <w:rsid w:val="0068295C"/>
    <w:rsid w:val="00682A54"/>
    <w:rsid w:val="00682CF9"/>
    <w:rsid w:val="006836B2"/>
    <w:rsid w:val="00683A87"/>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3A3F"/>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1FBE"/>
    <w:rsid w:val="006C2106"/>
    <w:rsid w:val="006C263F"/>
    <w:rsid w:val="006C2B53"/>
    <w:rsid w:val="006C34BC"/>
    <w:rsid w:val="006C3968"/>
    <w:rsid w:val="006C4033"/>
    <w:rsid w:val="006C52FF"/>
    <w:rsid w:val="006C643D"/>
    <w:rsid w:val="006C6D3B"/>
    <w:rsid w:val="006C7434"/>
    <w:rsid w:val="006C745B"/>
    <w:rsid w:val="006C77D5"/>
    <w:rsid w:val="006D07D7"/>
    <w:rsid w:val="006D1195"/>
    <w:rsid w:val="006D198D"/>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0F3"/>
    <w:rsid w:val="006E3132"/>
    <w:rsid w:val="006E39DE"/>
    <w:rsid w:val="006E3B9D"/>
    <w:rsid w:val="006E4622"/>
    <w:rsid w:val="006E5149"/>
    <w:rsid w:val="006E5BCB"/>
    <w:rsid w:val="006E5F94"/>
    <w:rsid w:val="006E69AA"/>
    <w:rsid w:val="006E6F66"/>
    <w:rsid w:val="006E7C86"/>
    <w:rsid w:val="006F06C9"/>
    <w:rsid w:val="006F0D9D"/>
    <w:rsid w:val="006F1FBA"/>
    <w:rsid w:val="006F20A2"/>
    <w:rsid w:val="006F231B"/>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2928"/>
    <w:rsid w:val="00703220"/>
    <w:rsid w:val="00703483"/>
    <w:rsid w:val="00703D91"/>
    <w:rsid w:val="007043F9"/>
    <w:rsid w:val="00706049"/>
    <w:rsid w:val="0070676C"/>
    <w:rsid w:val="00707567"/>
    <w:rsid w:val="00707E41"/>
    <w:rsid w:val="00710392"/>
    <w:rsid w:val="007107CE"/>
    <w:rsid w:val="00711308"/>
    <w:rsid w:val="007113BD"/>
    <w:rsid w:val="00711472"/>
    <w:rsid w:val="00711826"/>
    <w:rsid w:val="007121AB"/>
    <w:rsid w:val="007124FC"/>
    <w:rsid w:val="00712DD0"/>
    <w:rsid w:val="00713574"/>
    <w:rsid w:val="00713758"/>
    <w:rsid w:val="00713E28"/>
    <w:rsid w:val="007140D3"/>
    <w:rsid w:val="0071430A"/>
    <w:rsid w:val="007143A6"/>
    <w:rsid w:val="007153AB"/>
    <w:rsid w:val="0071567C"/>
    <w:rsid w:val="007158AA"/>
    <w:rsid w:val="00715CB8"/>
    <w:rsid w:val="007162B8"/>
    <w:rsid w:val="00716901"/>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C64"/>
    <w:rsid w:val="00731547"/>
    <w:rsid w:val="00732162"/>
    <w:rsid w:val="0073295B"/>
    <w:rsid w:val="007329B8"/>
    <w:rsid w:val="0073311D"/>
    <w:rsid w:val="0073316B"/>
    <w:rsid w:val="00733201"/>
    <w:rsid w:val="00733AFA"/>
    <w:rsid w:val="00733C9B"/>
    <w:rsid w:val="007344AD"/>
    <w:rsid w:val="007361BC"/>
    <w:rsid w:val="007368A9"/>
    <w:rsid w:val="00736A48"/>
    <w:rsid w:val="00737067"/>
    <w:rsid w:val="007371F5"/>
    <w:rsid w:val="0073729E"/>
    <w:rsid w:val="00737720"/>
    <w:rsid w:val="00737AFA"/>
    <w:rsid w:val="00737B5A"/>
    <w:rsid w:val="00740274"/>
    <w:rsid w:val="0074075C"/>
    <w:rsid w:val="00740CBF"/>
    <w:rsid w:val="0074111B"/>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DF5"/>
    <w:rsid w:val="00752EBA"/>
    <w:rsid w:val="007535EB"/>
    <w:rsid w:val="00755381"/>
    <w:rsid w:val="007557D6"/>
    <w:rsid w:val="00755864"/>
    <w:rsid w:val="0075624A"/>
    <w:rsid w:val="007562B5"/>
    <w:rsid w:val="007562CB"/>
    <w:rsid w:val="00756C59"/>
    <w:rsid w:val="007571DF"/>
    <w:rsid w:val="00757A16"/>
    <w:rsid w:val="007604AE"/>
    <w:rsid w:val="00760975"/>
    <w:rsid w:val="00760B5C"/>
    <w:rsid w:val="00761097"/>
    <w:rsid w:val="007610F2"/>
    <w:rsid w:val="00761B71"/>
    <w:rsid w:val="00762394"/>
    <w:rsid w:val="00762936"/>
    <w:rsid w:val="007629EC"/>
    <w:rsid w:val="00762AB6"/>
    <w:rsid w:val="00762B34"/>
    <w:rsid w:val="00762E6A"/>
    <w:rsid w:val="007631F1"/>
    <w:rsid w:val="00763332"/>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5DD3"/>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92B"/>
    <w:rsid w:val="007901BC"/>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3755"/>
    <w:rsid w:val="007A3DE1"/>
    <w:rsid w:val="007A4994"/>
    <w:rsid w:val="007A4D62"/>
    <w:rsid w:val="007A4DCF"/>
    <w:rsid w:val="007A5D61"/>
    <w:rsid w:val="007A632A"/>
    <w:rsid w:val="007A6D03"/>
    <w:rsid w:val="007A734A"/>
    <w:rsid w:val="007A7385"/>
    <w:rsid w:val="007A7676"/>
    <w:rsid w:val="007A7BC8"/>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3E67"/>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5FD2"/>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19F"/>
    <w:rsid w:val="007E6823"/>
    <w:rsid w:val="007E6B35"/>
    <w:rsid w:val="007E6C12"/>
    <w:rsid w:val="007E76F3"/>
    <w:rsid w:val="007E7855"/>
    <w:rsid w:val="007E7EC0"/>
    <w:rsid w:val="007F0A76"/>
    <w:rsid w:val="007F198D"/>
    <w:rsid w:val="007F1A6F"/>
    <w:rsid w:val="007F1AAE"/>
    <w:rsid w:val="007F238D"/>
    <w:rsid w:val="007F3885"/>
    <w:rsid w:val="007F3BF4"/>
    <w:rsid w:val="007F5DE0"/>
    <w:rsid w:val="007F5E47"/>
    <w:rsid w:val="007F6395"/>
    <w:rsid w:val="007F7B26"/>
    <w:rsid w:val="0080049F"/>
    <w:rsid w:val="00800D00"/>
    <w:rsid w:val="00801923"/>
    <w:rsid w:val="0080195A"/>
    <w:rsid w:val="008020BF"/>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AF9"/>
    <w:rsid w:val="00813C54"/>
    <w:rsid w:val="00814DE1"/>
    <w:rsid w:val="00814EEF"/>
    <w:rsid w:val="00814FF0"/>
    <w:rsid w:val="00815299"/>
    <w:rsid w:val="008154A0"/>
    <w:rsid w:val="008155F8"/>
    <w:rsid w:val="0081567B"/>
    <w:rsid w:val="008162AE"/>
    <w:rsid w:val="0081692D"/>
    <w:rsid w:val="008169D1"/>
    <w:rsid w:val="00816FB8"/>
    <w:rsid w:val="008170C5"/>
    <w:rsid w:val="00820004"/>
    <w:rsid w:val="00820422"/>
    <w:rsid w:val="008205AF"/>
    <w:rsid w:val="008210CB"/>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4BB1"/>
    <w:rsid w:val="0083609F"/>
    <w:rsid w:val="00837355"/>
    <w:rsid w:val="00837D90"/>
    <w:rsid w:val="00837E7D"/>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40A1"/>
    <w:rsid w:val="00867B14"/>
    <w:rsid w:val="00867B80"/>
    <w:rsid w:val="00867C3E"/>
    <w:rsid w:val="008701BA"/>
    <w:rsid w:val="0087130C"/>
    <w:rsid w:val="0087210E"/>
    <w:rsid w:val="0087212E"/>
    <w:rsid w:val="0087213F"/>
    <w:rsid w:val="008725B4"/>
    <w:rsid w:val="00872A46"/>
    <w:rsid w:val="00872BB6"/>
    <w:rsid w:val="00873467"/>
    <w:rsid w:val="00875395"/>
    <w:rsid w:val="008754BC"/>
    <w:rsid w:val="00875DB5"/>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87E09"/>
    <w:rsid w:val="0089026D"/>
    <w:rsid w:val="00891340"/>
    <w:rsid w:val="00891575"/>
    <w:rsid w:val="00891DAC"/>
    <w:rsid w:val="00891FDB"/>
    <w:rsid w:val="008927A8"/>
    <w:rsid w:val="008929E7"/>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4B5"/>
    <w:rsid w:val="008B08C1"/>
    <w:rsid w:val="008B0BA5"/>
    <w:rsid w:val="008B12A6"/>
    <w:rsid w:val="008B13B3"/>
    <w:rsid w:val="008B1B05"/>
    <w:rsid w:val="008B254C"/>
    <w:rsid w:val="008B2D79"/>
    <w:rsid w:val="008B300D"/>
    <w:rsid w:val="008B351D"/>
    <w:rsid w:val="008B3AEA"/>
    <w:rsid w:val="008B4AE1"/>
    <w:rsid w:val="008B55CA"/>
    <w:rsid w:val="008B5A60"/>
    <w:rsid w:val="008B5EA5"/>
    <w:rsid w:val="008B62B7"/>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6A67"/>
    <w:rsid w:val="008D79A5"/>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495A"/>
    <w:rsid w:val="008E5A9E"/>
    <w:rsid w:val="008E65F7"/>
    <w:rsid w:val="008E6B4A"/>
    <w:rsid w:val="008F04CB"/>
    <w:rsid w:val="008F0F55"/>
    <w:rsid w:val="008F1D26"/>
    <w:rsid w:val="008F1ECF"/>
    <w:rsid w:val="008F411A"/>
    <w:rsid w:val="008F5140"/>
    <w:rsid w:val="008F56C2"/>
    <w:rsid w:val="008F5AB2"/>
    <w:rsid w:val="008F5C62"/>
    <w:rsid w:val="008F5CAB"/>
    <w:rsid w:val="008F5F72"/>
    <w:rsid w:val="008F6B42"/>
    <w:rsid w:val="008F6F72"/>
    <w:rsid w:val="008F72CA"/>
    <w:rsid w:val="008F7890"/>
    <w:rsid w:val="008F7FE0"/>
    <w:rsid w:val="00900156"/>
    <w:rsid w:val="0090017E"/>
    <w:rsid w:val="00901EF3"/>
    <w:rsid w:val="009028BA"/>
    <w:rsid w:val="00902F71"/>
    <w:rsid w:val="00903399"/>
    <w:rsid w:val="0090406E"/>
    <w:rsid w:val="0090561E"/>
    <w:rsid w:val="009056C9"/>
    <w:rsid w:val="00906440"/>
    <w:rsid w:val="0090745B"/>
    <w:rsid w:val="009100F7"/>
    <w:rsid w:val="009107BB"/>
    <w:rsid w:val="009112A2"/>
    <w:rsid w:val="00911A5C"/>
    <w:rsid w:val="00911BD3"/>
    <w:rsid w:val="00911DE5"/>
    <w:rsid w:val="009125CF"/>
    <w:rsid w:val="00912A81"/>
    <w:rsid w:val="009137E5"/>
    <w:rsid w:val="00914CDC"/>
    <w:rsid w:val="009152FC"/>
    <w:rsid w:val="0091566F"/>
    <w:rsid w:val="0091591D"/>
    <w:rsid w:val="00915CB6"/>
    <w:rsid w:val="009164AA"/>
    <w:rsid w:val="009164BD"/>
    <w:rsid w:val="00916B48"/>
    <w:rsid w:val="0091726C"/>
    <w:rsid w:val="00917438"/>
    <w:rsid w:val="0091789F"/>
    <w:rsid w:val="0091793A"/>
    <w:rsid w:val="00917AB4"/>
    <w:rsid w:val="00917D5D"/>
    <w:rsid w:val="00917D8A"/>
    <w:rsid w:val="00920E89"/>
    <w:rsid w:val="00920F5E"/>
    <w:rsid w:val="0092106E"/>
    <w:rsid w:val="0092118D"/>
    <w:rsid w:val="009214A5"/>
    <w:rsid w:val="0092181D"/>
    <w:rsid w:val="009218FF"/>
    <w:rsid w:val="009233E7"/>
    <w:rsid w:val="009243F9"/>
    <w:rsid w:val="00924C33"/>
    <w:rsid w:val="00924F61"/>
    <w:rsid w:val="00925037"/>
    <w:rsid w:val="00925D7B"/>
    <w:rsid w:val="00926038"/>
    <w:rsid w:val="00926397"/>
    <w:rsid w:val="00926ED1"/>
    <w:rsid w:val="009300E5"/>
    <w:rsid w:val="009306F7"/>
    <w:rsid w:val="0093073E"/>
    <w:rsid w:val="00930A5C"/>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37F59"/>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47F32"/>
    <w:rsid w:val="0095090C"/>
    <w:rsid w:val="00950B18"/>
    <w:rsid w:val="0095106D"/>
    <w:rsid w:val="00951106"/>
    <w:rsid w:val="009512F1"/>
    <w:rsid w:val="009514DD"/>
    <w:rsid w:val="00952DBA"/>
    <w:rsid w:val="00953EDC"/>
    <w:rsid w:val="009547A0"/>
    <w:rsid w:val="009551B3"/>
    <w:rsid w:val="009556AB"/>
    <w:rsid w:val="00956E50"/>
    <w:rsid w:val="00957099"/>
    <w:rsid w:val="00957AA8"/>
    <w:rsid w:val="00960522"/>
    <w:rsid w:val="009609EB"/>
    <w:rsid w:val="00960F78"/>
    <w:rsid w:val="009615CF"/>
    <w:rsid w:val="00962227"/>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8C9"/>
    <w:rsid w:val="009942FE"/>
    <w:rsid w:val="00995DE2"/>
    <w:rsid w:val="00995E81"/>
    <w:rsid w:val="00996483"/>
    <w:rsid w:val="00996E13"/>
    <w:rsid w:val="009A0241"/>
    <w:rsid w:val="009A07E6"/>
    <w:rsid w:val="009A1188"/>
    <w:rsid w:val="009A19C6"/>
    <w:rsid w:val="009A1DAC"/>
    <w:rsid w:val="009A1ED9"/>
    <w:rsid w:val="009A43B5"/>
    <w:rsid w:val="009A43B6"/>
    <w:rsid w:val="009A5199"/>
    <w:rsid w:val="009A5709"/>
    <w:rsid w:val="009A5901"/>
    <w:rsid w:val="009A5A4A"/>
    <w:rsid w:val="009A668D"/>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17C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0D59"/>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69BD"/>
    <w:rsid w:val="009D7141"/>
    <w:rsid w:val="009D7191"/>
    <w:rsid w:val="009D7462"/>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2D1"/>
    <w:rsid w:val="009E4430"/>
    <w:rsid w:val="009E4CE6"/>
    <w:rsid w:val="009E4DA9"/>
    <w:rsid w:val="009E55A5"/>
    <w:rsid w:val="009E5B6A"/>
    <w:rsid w:val="009E6001"/>
    <w:rsid w:val="009E68EC"/>
    <w:rsid w:val="009E79F1"/>
    <w:rsid w:val="009F03D2"/>
    <w:rsid w:val="009F06DB"/>
    <w:rsid w:val="009F0895"/>
    <w:rsid w:val="009F09C5"/>
    <w:rsid w:val="009F0B3E"/>
    <w:rsid w:val="009F0C6F"/>
    <w:rsid w:val="009F1183"/>
    <w:rsid w:val="009F17EE"/>
    <w:rsid w:val="009F19FD"/>
    <w:rsid w:val="009F22E6"/>
    <w:rsid w:val="009F24AF"/>
    <w:rsid w:val="009F24D3"/>
    <w:rsid w:val="009F2957"/>
    <w:rsid w:val="009F3047"/>
    <w:rsid w:val="009F3072"/>
    <w:rsid w:val="009F3261"/>
    <w:rsid w:val="009F3625"/>
    <w:rsid w:val="009F3651"/>
    <w:rsid w:val="009F3AD6"/>
    <w:rsid w:val="009F3B4C"/>
    <w:rsid w:val="009F3BB1"/>
    <w:rsid w:val="009F3BBB"/>
    <w:rsid w:val="009F44D4"/>
    <w:rsid w:val="009F46AC"/>
    <w:rsid w:val="009F5B86"/>
    <w:rsid w:val="009F5BD8"/>
    <w:rsid w:val="009F6538"/>
    <w:rsid w:val="009F6674"/>
    <w:rsid w:val="009F66E0"/>
    <w:rsid w:val="009F67F5"/>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1A0"/>
    <w:rsid w:val="00A10622"/>
    <w:rsid w:val="00A107F2"/>
    <w:rsid w:val="00A108CF"/>
    <w:rsid w:val="00A1196D"/>
    <w:rsid w:val="00A1207B"/>
    <w:rsid w:val="00A1221C"/>
    <w:rsid w:val="00A12395"/>
    <w:rsid w:val="00A13C23"/>
    <w:rsid w:val="00A13E4D"/>
    <w:rsid w:val="00A14261"/>
    <w:rsid w:val="00A142C2"/>
    <w:rsid w:val="00A14640"/>
    <w:rsid w:val="00A1469A"/>
    <w:rsid w:val="00A14B9E"/>
    <w:rsid w:val="00A1515F"/>
    <w:rsid w:val="00A151DB"/>
    <w:rsid w:val="00A15298"/>
    <w:rsid w:val="00A1577D"/>
    <w:rsid w:val="00A15A99"/>
    <w:rsid w:val="00A15F21"/>
    <w:rsid w:val="00A16F98"/>
    <w:rsid w:val="00A17FD2"/>
    <w:rsid w:val="00A20554"/>
    <w:rsid w:val="00A212A0"/>
    <w:rsid w:val="00A21AA3"/>
    <w:rsid w:val="00A21D17"/>
    <w:rsid w:val="00A21F39"/>
    <w:rsid w:val="00A22648"/>
    <w:rsid w:val="00A246FF"/>
    <w:rsid w:val="00A24761"/>
    <w:rsid w:val="00A24779"/>
    <w:rsid w:val="00A252CB"/>
    <w:rsid w:val="00A2534B"/>
    <w:rsid w:val="00A255C7"/>
    <w:rsid w:val="00A26094"/>
    <w:rsid w:val="00A263C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076B"/>
    <w:rsid w:val="00A41AC8"/>
    <w:rsid w:val="00A42521"/>
    <w:rsid w:val="00A42615"/>
    <w:rsid w:val="00A42636"/>
    <w:rsid w:val="00A439A3"/>
    <w:rsid w:val="00A43B15"/>
    <w:rsid w:val="00A4565C"/>
    <w:rsid w:val="00A45D8B"/>
    <w:rsid w:val="00A4633D"/>
    <w:rsid w:val="00A465B5"/>
    <w:rsid w:val="00A46A5D"/>
    <w:rsid w:val="00A46D0B"/>
    <w:rsid w:val="00A47154"/>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D65"/>
    <w:rsid w:val="00A562AF"/>
    <w:rsid w:val="00A564D2"/>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24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2EE6"/>
    <w:rsid w:val="00A833D7"/>
    <w:rsid w:val="00A8340E"/>
    <w:rsid w:val="00A8366D"/>
    <w:rsid w:val="00A837AB"/>
    <w:rsid w:val="00A837E4"/>
    <w:rsid w:val="00A83B2E"/>
    <w:rsid w:val="00A83D62"/>
    <w:rsid w:val="00A83E25"/>
    <w:rsid w:val="00A847E7"/>
    <w:rsid w:val="00A84891"/>
    <w:rsid w:val="00A84B6F"/>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285"/>
    <w:rsid w:val="00AA26AB"/>
    <w:rsid w:val="00AA277C"/>
    <w:rsid w:val="00AA2956"/>
    <w:rsid w:val="00AA29A2"/>
    <w:rsid w:val="00AA2CB6"/>
    <w:rsid w:val="00AA2DE6"/>
    <w:rsid w:val="00AA39AC"/>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5949"/>
    <w:rsid w:val="00AB6065"/>
    <w:rsid w:val="00AB6C4A"/>
    <w:rsid w:val="00AB6DF8"/>
    <w:rsid w:val="00AB7651"/>
    <w:rsid w:val="00AB7EC4"/>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4B81"/>
    <w:rsid w:val="00AE60E6"/>
    <w:rsid w:val="00AE63A2"/>
    <w:rsid w:val="00AE63DB"/>
    <w:rsid w:val="00AE69C2"/>
    <w:rsid w:val="00AE707A"/>
    <w:rsid w:val="00AE7B3E"/>
    <w:rsid w:val="00AF05EC"/>
    <w:rsid w:val="00AF0CD2"/>
    <w:rsid w:val="00AF0DAB"/>
    <w:rsid w:val="00AF13F4"/>
    <w:rsid w:val="00AF198E"/>
    <w:rsid w:val="00AF21BD"/>
    <w:rsid w:val="00AF225A"/>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97B"/>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5242"/>
    <w:rsid w:val="00B355DE"/>
    <w:rsid w:val="00B367BC"/>
    <w:rsid w:val="00B36B39"/>
    <w:rsid w:val="00B37C6B"/>
    <w:rsid w:val="00B402C6"/>
    <w:rsid w:val="00B40906"/>
    <w:rsid w:val="00B40DD2"/>
    <w:rsid w:val="00B40E06"/>
    <w:rsid w:val="00B40F92"/>
    <w:rsid w:val="00B4220F"/>
    <w:rsid w:val="00B42222"/>
    <w:rsid w:val="00B42FE2"/>
    <w:rsid w:val="00B432BD"/>
    <w:rsid w:val="00B43453"/>
    <w:rsid w:val="00B4379A"/>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57EEB"/>
    <w:rsid w:val="00B60B24"/>
    <w:rsid w:val="00B61244"/>
    <w:rsid w:val="00B61ADD"/>
    <w:rsid w:val="00B61B39"/>
    <w:rsid w:val="00B61EDF"/>
    <w:rsid w:val="00B61F8F"/>
    <w:rsid w:val="00B62104"/>
    <w:rsid w:val="00B62818"/>
    <w:rsid w:val="00B62AF8"/>
    <w:rsid w:val="00B636A0"/>
    <w:rsid w:val="00B63907"/>
    <w:rsid w:val="00B63AD4"/>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CFC"/>
    <w:rsid w:val="00B72EEF"/>
    <w:rsid w:val="00B72F5D"/>
    <w:rsid w:val="00B73364"/>
    <w:rsid w:val="00B7389E"/>
    <w:rsid w:val="00B74091"/>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3C45"/>
    <w:rsid w:val="00B84449"/>
    <w:rsid w:val="00B84469"/>
    <w:rsid w:val="00B84570"/>
    <w:rsid w:val="00B850F6"/>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350"/>
    <w:rsid w:val="00B9572E"/>
    <w:rsid w:val="00B95D86"/>
    <w:rsid w:val="00B95F98"/>
    <w:rsid w:val="00B96C77"/>
    <w:rsid w:val="00B96DA0"/>
    <w:rsid w:val="00B96EBF"/>
    <w:rsid w:val="00B96FE2"/>
    <w:rsid w:val="00B97468"/>
    <w:rsid w:val="00BA02FD"/>
    <w:rsid w:val="00BA09B8"/>
    <w:rsid w:val="00BA1317"/>
    <w:rsid w:val="00BA16ED"/>
    <w:rsid w:val="00BA1E66"/>
    <w:rsid w:val="00BA2042"/>
    <w:rsid w:val="00BA20A7"/>
    <w:rsid w:val="00BA23FA"/>
    <w:rsid w:val="00BA5099"/>
    <w:rsid w:val="00BA59DE"/>
    <w:rsid w:val="00BA5CA9"/>
    <w:rsid w:val="00BA5F12"/>
    <w:rsid w:val="00BA62B9"/>
    <w:rsid w:val="00BA720C"/>
    <w:rsid w:val="00BA7423"/>
    <w:rsid w:val="00BA756D"/>
    <w:rsid w:val="00BA79D3"/>
    <w:rsid w:val="00BA7A73"/>
    <w:rsid w:val="00BB0A08"/>
    <w:rsid w:val="00BB1748"/>
    <w:rsid w:val="00BB2008"/>
    <w:rsid w:val="00BB28A8"/>
    <w:rsid w:val="00BB3443"/>
    <w:rsid w:val="00BB3A59"/>
    <w:rsid w:val="00BB412D"/>
    <w:rsid w:val="00BB4694"/>
    <w:rsid w:val="00BB4FAA"/>
    <w:rsid w:val="00BB5C36"/>
    <w:rsid w:val="00BB619B"/>
    <w:rsid w:val="00BC0564"/>
    <w:rsid w:val="00BC103E"/>
    <w:rsid w:val="00BC13A2"/>
    <w:rsid w:val="00BC1716"/>
    <w:rsid w:val="00BC1FB9"/>
    <w:rsid w:val="00BC2096"/>
    <w:rsid w:val="00BC2603"/>
    <w:rsid w:val="00BC2A9B"/>
    <w:rsid w:val="00BC2D61"/>
    <w:rsid w:val="00BC35F4"/>
    <w:rsid w:val="00BC3D1E"/>
    <w:rsid w:val="00BC3D52"/>
    <w:rsid w:val="00BC3E28"/>
    <w:rsid w:val="00BC3E2E"/>
    <w:rsid w:val="00BC44E3"/>
    <w:rsid w:val="00BC47D2"/>
    <w:rsid w:val="00BC5AAA"/>
    <w:rsid w:val="00BC5D7A"/>
    <w:rsid w:val="00BC6004"/>
    <w:rsid w:val="00BC65CF"/>
    <w:rsid w:val="00BC69EC"/>
    <w:rsid w:val="00BC6EF3"/>
    <w:rsid w:val="00BC76A1"/>
    <w:rsid w:val="00BC782E"/>
    <w:rsid w:val="00BC7DFC"/>
    <w:rsid w:val="00BD0BC0"/>
    <w:rsid w:val="00BD0EB3"/>
    <w:rsid w:val="00BD0FB8"/>
    <w:rsid w:val="00BD12EE"/>
    <w:rsid w:val="00BD1E8D"/>
    <w:rsid w:val="00BD3178"/>
    <w:rsid w:val="00BD3A8D"/>
    <w:rsid w:val="00BD3F90"/>
    <w:rsid w:val="00BD4ADE"/>
    <w:rsid w:val="00BD6AAE"/>
    <w:rsid w:val="00BD6C26"/>
    <w:rsid w:val="00BD7090"/>
    <w:rsid w:val="00BD756C"/>
    <w:rsid w:val="00BD758B"/>
    <w:rsid w:val="00BD7CE1"/>
    <w:rsid w:val="00BD7F9C"/>
    <w:rsid w:val="00BE0007"/>
    <w:rsid w:val="00BE0E15"/>
    <w:rsid w:val="00BE1B0D"/>
    <w:rsid w:val="00BE24E5"/>
    <w:rsid w:val="00BE37D5"/>
    <w:rsid w:val="00BE6BED"/>
    <w:rsid w:val="00BE6F8A"/>
    <w:rsid w:val="00BE751E"/>
    <w:rsid w:val="00BE7EB3"/>
    <w:rsid w:val="00BF0D0E"/>
    <w:rsid w:val="00BF0E5F"/>
    <w:rsid w:val="00BF1157"/>
    <w:rsid w:val="00BF19A2"/>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201E"/>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78A"/>
    <w:rsid w:val="00C177BA"/>
    <w:rsid w:val="00C17C90"/>
    <w:rsid w:val="00C200C6"/>
    <w:rsid w:val="00C20209"/>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572E"/>
    <w:rsid w:val="00C26183"/>
    <w:rsid w:val="00C26C05"/>
    <w:rsid w:val="00C26CA2"/>
    <w:rsid w:val="00C26DB6"/>
    <w:rsid w:val="00C30A5B"/>
    <w:rsid w:val="00C30AA5"/>
    <w:rsid w:val="00C31634"/>
    <w:rsid w:val="00C31CAA"/>
    <w:rsid w:val="00C326DE"/>
    <w:rsid w:val="00C326F8"/>
    <w:rsid w:val="00C32CD0"/>
    <w:rsid w:val="00C3391A"/>
    <w:rsid w:val="00C33E5E"/>
    <w:rsid w:val="00C34285"/>
    <w:rsid w:val="00C34BCF"/>
    <w:rsid w:val="00C351AC"/>
    <w:rsid w:val="00C35BE0"/>
    <w:rsid w:val="00C35E8E"/>
    <w:rsid w:val="00C3638C"/>
    <w:rsid w:val="00C367B1"/>
    <w:rsid w:val="00C36943"/>
    <w:rsid w:val="00C36DA2"/>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1E97"/>
    <w:rsid w:val="00C5331D"/>
    <w:rsid w:val="00C5358E"/>
    <w:rsid w:val="00C53F41"/>
    <w:rsid w:val="00C54056"/>
    <w:rsid w:val="00C54699"/>
    <w:rsid w:val="00C54B22"/>
    <w:rsid w:val="00C557A4"/>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3D8"/>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576"/>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926"/>
    <w:rsid w:val="00CA7A23"/>
    <w:rsid w:val="00CA7BA1"/>
    <w:rsid w:val="00CB0198"/>
    <w:rsid w:val="00CB0596"/>
    <w:rsid w:val="00CB17AC"/>
    <w:rsid w:val="00CB1CF3"/>
    <w:rsid w:val="00CB25C3"/>
    <w:rsid w:val="00CB4203"/>
    <w:rsid w:val="00CB4C84"/>
    <w:rsid w:val="00CB4D50"/>
    <w:rsid w:val="00CB4D6F"/>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1E54"/>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2B7"/>
    <w:rsid w:val="00CE05E8"/>
    <w:rsid w:val="00CE07ED"/>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962"/>
    <w:rsid w:val="00CF7A57"/>
    <w:rsid w:val="00CF7D65"/>
    <w:rsid w:val="00CF7F5E"/>
    <w:rsid w:val="00D00D15"/>
    <w:rsid w:val="00D015F7"/>
    <w:rsid w:val="00D0186A"/>
    <w:rsid w:val="00D01965"/>
    <w:rsid w:val="00D01F10"/>
    <w:rsid w:val="00D0248F"/>
    <w:rsid w:val="00D0266D"/>
    <w:rsid w:val="00D02728"/>
    <w:rsid w:val="00D02869"/>
    <w:rsid w:val="00D02B50"/>
    <w:rsid w:val="00D02CAD"/>
    <w:rsid w:val="00D02FEC"/>
    <w:rsid w:val="00D03064"/>
    <w:rsid w:val="00D03EC7"/>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200"/>
    <w:rsid w:val="00D21E5F"/>
    <w:rsid w:val="00D224DC"/>
    <w:rsid w:val="00D235E6"/>
    <w:rsid w:val="00D23F87"/>
    <w:rsid w:val="00D24B6C"/>
    <w:rsid w:val="00D25021"/>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669B"/>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1C8"/>
    <w:rsid w:val="00D6668C"/>
    <w:rsid w:val="00D67320"/>
    <w:rsid w:val="00D6765B"/>
    <w:rsid w:val="00D677CC"/>
    <w:rsid w:val="00D678D5"/>
    <w:rsid w:val="00D67947"/>
    <w:rsid w:val="00D67FA4"/>
    <w:rsid w:val="00D70292"/>
    <w:rsid w:val="00D70C7F"/>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74E4"/>
    <w:rsid w:val="00D777F1"/>
    <w:rsid w:val="00D77AA2"/>
    <w:rsid w:val="00D80CB5"/>
    <w:rsid w:val="00D81B87"/>
    <w:rsid w:val="00D81E3D"/>
    <w:rsid w:val="00D82A6F"/>
    <w:rsid w:val="00D830E2"/>
    <w:rsid w:val="00D84964"/>
    <w:rsid w:val="00D84B6F"/>
    <w:rsid w:val="00D84EBD"/>
    <w:rsid w:val="00D84EFD"/>
    <w:rsid w:val="00D85B96"/>
    <w:rsid w:val="00D85C1B"/>
    <w:rsid w:val="00D864E1"/>
    <w:rsid w:val="00D86768"/>
    <w:rsid w:val="00D87205"/>
    <w:rsid w:val="00D87600"/>
    <w:rsid w:val="00D8760F"/>
    <w:rsid w:val="00D876A1"/>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36B"/>
    <w:rsid w:val="00D96A89"/>
    <w:rsid w:val="00D96FDA"/>
    <w:rsid w:val="00D97021"/>
    <w:rsid w:val="00D971C6"/>
    <w:rsid w:val="00D975D7"/>
    <w:rsid w:val="00D977B2"/>
    <w:rsid w:val="00D97B19"/>
    <w:rsid w:val="00DA039B"/>
    <w:rsid w:val="00DA14D6"/>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19C5"/>
    <w:rsid w:val="00DB2095"/>
    <w:rsid w:val="00DB2B25"/>
    <w:rsid w:val="00DB35B4"/>
    <w:rsid w:val="00DB37BD"/>
    <w:rsid w:val="00DB3B11"/>
    <w:rsid w:val="00DB3C66"/>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08F"/>
    <w:rsid w:val="00DC3107"/>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6DBB"/>
    <w:rsid w:val="00DD728D"/>
    <w:rsid w:val="00DE00A2"/>
    <w:rsid w:val="00DE0BDF"/>
    <w:rsid w:val="00DE0CB9"/>
    <w:rsid w:val="00DE1C8F"/>
    <w:rsid w:val="00DE21D6"/>
    <w:rsid w:val="00DE2241"/>
    <w:rsid w:val="00DE27FE"/>
    <w:rsid w:val="00DE2A2E"/>
    <w:rsid w:val="00DE2D02"/>
    <w:rsid w:val="00DE2DD0"/>
    <w:rsid w:val="00DE32AE"/>
    <w:rsid w:val="00DE39D5"/>
    <w:rsid w:val="00DE3FCC"/>
    <w:rsid w:val="00DE495C"/>
    <w:rsid w:val="00DE54C0"/>
    <w:rsid w:val="00DE5617"/>
    <w:rsid w:val="00DE58DF"/>
    <w:rsid w:val="00DE6AF4"/>
    <w:rsid w:val="00DE6B2B"/>
    <w:rsid w:val="00DE72E9"/>
    <w:rsid w:val="00DE7576"/>
    <w:rsid w:val="00DF15FF"/>
    <w:rsid w:val="00DF2382"/>
    <w:rsid w:val="00DF24B3"/>
    <w:rsid w:val="00DF401D"/>
    <w:rsid w:val="00DF46A0"/>
    <w:rsid w:val="00DF489C"/>
    <w:rsid w:val="00DF4A23"/>
    <w:rsid w:val="00DF4ACF"/>
    <w:rsid w:val="00DF4AD3"/>
    <w:rsid w:val="00DF5B8F"/>
    <w:rsid w:val="00DF6206"/>
    <w:rsid w:val="00DF63A8"/>
    <w:rsid w:val="00DF6550"/>
    <w:rsid w:val="00DF66AA"/>
    <w:rsid w:val="00DF6A19"/>
    <w:rsid w:val="00DF74A8"/>
    <w:rsid w:val="00DF7864"/>
    <w:rsid w:val="00E00755"/>
    <w:rsid w:val="00E007F3"/>
    <w:rsid w:val="00E00DEC"/>
    <w:rsid w:val="00E011F0"/>
    <w:rsid w:val="00E01319"/>
    <w:rsid w:val="00E020F6"/>
    <w:rsid w:val="00E026CD"/>
    <w:rsid w:val="00E03362"/>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431"/>
    <w:rsid w:val="00E24910"/>
    <w:rsid w:val="00E26100"/>
    <w:rsid w:val="00E26430"/>
    <w:rsid w:val="00E267B3"/>
    <w:rsid w:val="00E27345"/>
    <w:rsid w:val="00E27A0A"/>
    <w:rsid w:val="00E311B7"/>
    <w:rsid w:val="00E3127C"/>
    <w:rsid w:val="00E31D55"/>
    <w:rsid w:val="00E31F5E"/>
    <w:rsid w:val="00E3229B"/>
    <w:rsid w:val="00E32427"/>
    <w:rsid w:val="00E32C18"/>
    <w:rsid w:val="00E32CD6"/>
    <w:rsid w:val="00E32F13"/>
    <w:rsid w:val="00E33502"/>
    <w:rsid w:val="00E340AF"/>
    <w:rsid w:val="00E34265"/>
    <w:rsid w:val="00E34322"/>
    <w:rsid w:val="00E34469"/>
    <w:rsid w:val="00E346B8"/>
    <w:rsid w:val="00E34B9D"/>
    <w:rsid w:val="00E34DEE"/>
    <w:rsid w:val="00E3534E"/>
    <w:rsid w:val="00E35A1C"/>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D7"/>
    <w:rsid w:val="00E51C0A"/>
    <w:rsid w:val="00E51DCF"/>
    <w:rsid w:val="00E5250D"/>
    <w:rsid w:val="00E5268C"/>
    <w:rsid w:val="00E53C49"/>
    <w:rsid w:val="00E5441D"/>
    <w:rsid w:val="00E54E7E"/>
    <w:rsid w:val="00E54F14"/>
    <w:rsid w:val="00E55151"/>
    <w:rsid w:val="00E55BBC"/>
    <w:rsid w:val="00E55E2E"/>
    <w:rsid w:val="00E57498"/>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4F58"/>
    <w:rsid w:val="00E655A2"/>
    <w:rsid w:val="00E65639"/>
    <w:rsid w:val="00E65BA7"/>
    <w:rsid w:val="00E65BEA"/>
    <w:rsid w:val="00E66117"/>
    <w:rsid w:val="00E6707B"/>
    <w:rsid w:val="00E67179"/>
    <w:rsid w:val="00E67198"/>
    <w:rsid w:val="00E675CA"/>
    <w:rsid w:val="00E67756"/>
    <w:rsid w:val="00E67ABD"/>
    <w:rsid w:val="00E70663"/>
    <w:rsid w:val="00E706A9"/>
    <w:rsid w:val="00E70B3B"/>
    <w:rsid w:val="00E7120F"/>
    <w:rsid w:val="00E7139C"/>
    <w:rsid w:val="00E719B8"/>
    <w:rsid w:val="00E71D4D"/>
    <w:rsid w:val="00E731ED"/>
    <w:rsid w:val="00E733F7"/>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DFF"/>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624B"/>
    <w:rsid w:val="00EB7AAF"/>
    <w:rsid w:val="00EC01D1"/>
    <w:rsid w:val="00EC02C6"/>
    <w:rsid w:val="00EC05B3"/>
    <w:rsid w:val="00EC0DFB"/>
    <w:rsid w:val="00EC1E2D"/>
    <w:rsid w:val="00EC2374"/>
    <w:rsid w:val="00EC2A59"/>
    <w:rsid w:val="00EC3518"/>
    <w:rsid w:val="00EC4052"/>
    <w:rsid w:val="00EC430F"/>
    <w:rsid w:val="00EC4A71"/>
    <w:rsid w:val="00EC4BB6"/>
    <w:rsid w:val="00EC4D1F"/>
    <w:rsid w:val="00EC4FE5"/>
    <w:rsid w:val="00EC541E"/>
    <w:rsid w:val="00EC722D"/>
    <w:rsid w:val="00EC7A03"/>
    <w:rsid w:val="00EC7E5D"/>
    <w:rsid w:val="00ED0176"/>
    <w:rsid w:val="00ED098A"/>
    <w:rsid w:val="00ED11DE"/>
    <w:rsid w:val="00ED1659"/>
    <w:rsid w:val="00ED17DF"/>
    <w:rsid w:val="00ED1928"/>
    <w:rsid w:val="00ED2505"/>
    <w:rsid w:val="00ED329B"/>
    <w:rsid w:val="00ED3AA3"/>
    <w:rsid w:val="00ED3B55"/>
    <w:rsid w:val="00ED3DA1"/>
    <w:rsid w:val="00ED3F06"/>
    <w:rsid w:val="00ED41CD"/>
    <w:rsid w:val="00ED4227"/>
    <w:rsid w:val="00ED5455"/>
    <w:rsid w:val="00ED561B"/>
    <w:rsid w:val="00ED581C"/>
    <w:rsid w:val="00ED5981"/>
    <w:rsid w:val="00ED5C96"/>
    <w:rsid w:val="00ED5CC9"/>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571"/>
    <w:rsid w:val="00EF1D2E"/>
    <w:rsid w:val="00EF1D40"/>
    <w:rsid w:val="00EF1D43"/>
    <w:rsid w:val="00EF22D9"/>
    <w:rsid w:val="00EF2C55"/>
    <w:rsid w:val="00EF46F1"/>
    <w:rsid w:val="00EF4854"/>
    <w:rsid w:val="00EF4D8F"/>
    <w:rsid w:val="00EF4EB4"/>
    <w:rsid w:val="00EF53B9"/>
    <w:rsid w:val="00EF5507"/>
    <w:rsid w:val="00EF55F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2D80"/>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97E"/>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887"/>
    <w:rsid w:val="00F34C52"/>
    <w:rsid w:val="00F34FBD"/>
    <w:rsid w:val="00F355A4"/>
    <w:rsid w:val="00F35ECC"/>
    <w:rsid w:val="00F366B3"/>
    <w:rsid w:val="00F366BE"/>
    <w:rsid w:val="00F37444"/>
    <w:rsid w:val="00F37EED"/>
    <w:rsid w:val="00F37F2C"/>
    <w:rsid w:val="00F4003D"/>
    <w:rsid w:val="00F402FF"/>
    <w:rsid w:val="00F40373"/>
    <w:rsid w:val="00F40A96"/>
    <w:rsid w:val="00F40D2F"/>
    <w:rsid w:val="00F410B2"/>
    <w:rsid w:val="00F411DF"/>
    <w:rsid w:val="00F41755"/>
    <w:rsid w:val="00F41B27"/>
    <w:rsid w:val="00F41D2E"/>
    <w:rsid w:val="00F42325"/>
    <w:rsid w:val="00F4237E"/>
    <w:rsid w:val="00F425C6"/>
    <w:rsid w:val="00F42CF3"/>
    <w:rsid w:val="00F4325C"/>
    <w:rsid w:val="00F434D1"/>
    <w:rsid w:val="00F43EAD"/>
    <w:rsid w:val="00F44245"/>
    <w:rsid w:val="00F4426B"/>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42EE"/>
    <w:rsid w:val="00F943A4"/>
    <w:rsid w:val="00F95A25"/>
    <w:rsid w:val="00F95BC2"/>
    <w:rsid w:val="00F95C18"/>
    <w:rsid w:val="00F96BC4"/>
    <w:rsid w:val="00F97CFA"/>
    <w:rsid w:val="00FA0226"/>
    <w:rsid w:val="00FA0610"/>
    <w:rsid w:val="00FA078A"/>
    <w:rsid w:val="00FA09C6"/>
    <w:rsid w:val="00FA19BA"/>
    <w:rsid w:val="00FA1A16"/>
    <w:rsid w:val="00FA1E63"/>
    <w:rsid w:val="00FA1EED"/>
    <w:rsid w:val="00FA2653"/>
    <w:rsid w:val="00FA2953"/>
    <w:rsid w:val="00FA2BB3"/>
    <w:rsid w:val="00FA3984"/>
    <w:rsid w:val="00FA5531"/>
    <w:rsid w:val="00FA59CA"/>
    <w:rsid w:val="00FA5E9A"/>
    <w:rsid w:val="00FA6261"/>
    <w:rsid w:val="00FA69BF"/>
    <w:rsid w:val="00FA6E77"/>
    <w:rsid w:val="00FB0949"/>
    <w:rsid w:val="00FB0F60"/>
    <w:rsid w:val="00FB0FB7"/>
    <w:rsid w:val="00FB349A"/>
    <w:rsid w:val="00FB361D"/>
    <w:rsid w:val="00FB39DC"/>
    <w:rsid w:val="00FB4071"/>
    <w:rsid w:val="00FB419C"/>
    <w:rsid w:val="00FB4210"/>
    <w:rsid w:val="00FB59EA"/>
    <w:rsid w:val="00FB6006"/>
    <w:rsid w:val="00FB6495"/>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1C83"/>
    <w:rsid w:val="00FE1C8D"/>
    <w:rsid w:val="00FE1DCB"/>
    <w:rsid w:val="00FE2114"/>
    <w:rsid w:val="00FE2DA3"/>
    <w:rsid w:val="00FE2F0B"/>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61E0"/>
    <w:rsid w:val="00FF621B"/>
    <w:rsid w:val="00FF6363"/>
    <w:rsid w:val="00FF6D2F"/>
    <w:rsid w:val="6C446964"/>
    <w:rsid w:val="76EB02E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Document Map"/>
    <w:basedOn w:val="1"/>
    <w:link w:val="43"/>
    <w:semiHidden/>
    <w:unhideWhenUsed/>
    <w:uiPriority w:val="99"/>
    <w:rPr>
      <w:rFonts w:ascii="宋体"/>
      <w:sz w:val="18"/>
      <w:szCs w:val="18"/>
      <w:lang w:eastAsia="zh-CN"/>
    </w:rPr>
  </w:style>
  <w:style w:type="paragraph" w:styleId="14">
    <w:name w:val="annotation text"/>
    <w:basedOn w:val="1"/>
    <w:link w:val="47"/>
    <w:semiHidden/>
    <w:unhideWhenUsed/>
    <w:qFormat/>
    <w:uiPriority w:val="99"/>
    <w:pPr>
      <w:jc w:val="left"/>
    </w:pPr>
    <w:rPr>
      <w:lang w:eastAsia="zh-CN"/>
    </w:rPr>
  </w:style>
  <w:style w:type="paragraph" w:styleId="15">
    <w:name w:val="Body Text"/>
    <w:basedOn w:val="1"/>
    <w:link w:val="68"/>
    <w:unhideWhenUsed/>
    <w:uiPriority w:val="0"/>
    <w:pPr>
      <w:spacing w:line="240" w:lineRule="auto"/>
      <w:textAlignment w:val="auto"/>
    </w:pPr>
    <w:rPr>
      <w:rFonts w:ascii="Arial" w:hAnsi="Arial"/>
      <w:sz w:val="20"/>
      <w:lang w:eastAsia="zh-CN"/>
    </w:rPr>
  </w:style>
  <w:style w:type="paragraph" w:styleId="16">
    <w:name w:val="List 2"/>
    <w:basedOn w:val="1"/>
    <w:semiHidden/>
    <w:unhideWhenUsed/>
    <w:uiPriority w:val="99"/>
    <w:pPr>
      <w:ind w:left="100" w:leftChars="200" w:hanging="200" w:hangingChars="200"/>
      <w:contextualSpacing/>
    </w:pPr>
  </w:style>
  <w:style w:type="paragraph" w:styleId="17">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8">
    <w:name w:val="footer"/>
    <w:basedOn w:val="19"/>
    <w:link w:val="38"/>
    <w:uiPriority w:val="0"/>
    <w:pPr>
      <w:widowControl w:val="0"/>
      <w:pBdr>
        <w:bottom w:val="none" w:color="auto" w:sz="0" w:space="0"/>
      </w:pBdr>
      <w:snapToGrid/>
      <w:spacing w:after="0" w:line="288" w:lineRule="auto"/>
    </w:pPr>
    <w:rPr>
      <w:rFonts w:ascii="Arial" w:hAnsi="Arial"/>
      <w:b/>
      <w:bCs/>
      <w:i/>
      <w:iCs/>
      <w:lang w:val="zh-CN"/>
    </w:rPr>
  </w:style>
  <w:style w:type="paragraph" w:styleId="19">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0">
    <w:name w:val="List"/>
    <w:basedOn w:val="1"/>
    <w:semiHidden/>
    <w:unhideWhenUsed/>
    <w:uiPriority w:val="99"/>
    <w:pPr>
      <w:ind w:left="200" w:hanging="200" w:hangingChars="200"/>
      <w:contextualSpacing/>
    </w:pPr>
  </w:style>
  <w:style w:type="paragraph" w:styleId="21">
    <w:name w:val="annotation subject"/>
    <w:basedOn w:val="14"/>
    <w:next w:val="14"/>
    <w:link w:val="48"/>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character" w:customStyle="1" w:styleId="28">
    <w:name w:val="Heading 1 Char"/>
    <w:link w:val="2"/>
    <w:uiPriority w:val="0"/>
    <w:rPr>
      <w:rFonts w:ascii="Arial" w:hAnsi="Arial"/>
      <w:sz w:val="36"/>
      <w:szCs w:val="36"/>
      <w:lang w:val="en-GB"/>
    </w:rPr>
  </w:style>
  <w:style w:type="character" w:customStyle="1" w:styleId="29">
    <w:name w:val="Heading 2 Char1"/>
    <w:link w:val="3"/>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uiPriority w:val="0"/>
    <w:rPr>
      <w:rFonts w:ascii="Arial" w:hAnsi="Arial"/>
      <w:sz w:val="22"/>
      <w:szCs w:val="22"/>
      <w:lang w:val="en-GB" w:eastAsia="zh-CN"/>
    </w:rPr>
  </w:style>
  <w:style w:type="character" w:customStyle="1" w:styleId="33">
    <w:name w:val="Heading 6 Char"/>
    <w:link w:val="7"/>
    <w:uiPriority w:val="0"/>
    <w:rPr>
      <w:rFonts w:ascii="Arial" w:hAnsi="Arial"/>
      <w:sz w:val="22"/>
      <w:lang w:val="en-GB" w:eastAsia="zh-CN"/>
    </w:rPr>
  </w:style>
  <w:style w:type="character" w:customStyle="1" w:styleId="34">
    <w:name w:val="Heading 7 Char"/>
    <w:link w:val="8"/>
    <w:uiPriority w:val="0"/>
    <w:rPr>
      <w:rFonts w:ascii="Arial" w:hAnsi="Arial"/>
      <w:sz w:val="22"/>
      <w:lang w:val="en-GB" w:eastAsia="zh-CN"/>
    </w:rPr>
  </w:style>
  <w:style w:type="character" w:customStyle="1" w:styleId="35">
    <w:name w:val="Heading 8 Char"/>
    <w:link w:val="9"/>
    <w:uiPriority w:val="0"/>
    <w:rPr>
      <w:rFonts w:ascii="Arial" w:hAnsi="Arial"/>
      <w:sz w:val="22"/>
      <w:lang w:val="en-GB" w:eastAsia="zh-CN"/>
    </w:rPr>
  </w:style>
  <w:style w:type="character" w:customStyle="1" w:styleId="36">
    <w:name w:val="Heading 9 Char"/>
    <w:link w:val="10"/>
    <w:uiPriority w:val="0"/>
    <w:rPr>
      <w:rFonts w:ascii="Arial" w:hAnsi="Arial"/>
      <w:sz w:val="22"/>
      <w:lang w:val="en-GB" w:eastAsia="zh-CN"/>
    </w:rPr>
  </w:style>
  <w:style w:type="paragraph" w:customStyle="1" w:styleId="37">
    <w:name w:val="3GPP_Header"/>
    <w:basedOn w:val="1"/>
    <w:link w:val="39"/>
    <w:uiPriority w:val="0"/>
    <w:pPr>
      <w:tabs>
        <w:tab w:val="left" w:pos="1701"/>
        <w:tab w:val="right" w:pos="9639"/>
      </w:tabs>
      <w:spacing w:after="240"/>
    </w:pPr>
    <w:rPr>
      <w:b/>
      <w:sz w:val="20"/>
      <w:lang w:eastAsia="zh-CN"/>
    </w:rPr>
  </w:style>
  <w:style w:type="character" w:customStyle="1" w:styleId="38">
    <w:name w:val="Footer Char"/>
    <w:link w:val="18"/>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19"/>
    <w:uiPriority w:val="99"/>
    <w:rPr>
      <w:rFonts w:ascii="Times New Roman" w:hAnsi="Times New Roman" w:eastAsia="宋体" w:cs="Times New Roman"/>
      <w:kern w:val="0"/>
      <w:sz w:val="18"/>
      <w:szCs w:val="18"/>
      <w:lang w:val="en-GB"/>
    </w:rPr>
  </w:style>
  <w:style w:type="character" w:customStyle="1" w:styleId="41">
    <w:name w:val="Balloon Text Char"/>
    <w:link w:val="17"/>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3"/>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4"/>
    <w:semiHidden/>
    <w:uiPriority w:val="99"/>
    <w:rPr>
      <w:rFonts w:ascii="Times New Roman" w:hAnsi="Times New Roman"/>
      <w:sz w:val="22"/>
      <w:lang w:val="en-GB"/>
    </w:rPr>
  </w:style>
  <w:style w:type="character" w:customStyle="1" w:styleId="48">
    <w:name w:val="Comment Subject Char"/>
    <w:link w:val="21"/>
    <w:semiHidden/>
    <w:uiPriority w:val="99"/>
    <w:rPr>
      <w:rFonts w:ascii="Times New Roman" w:hAnsi="Times New Roman"/>
      <w:b/>
      <w:bCs/>
      <w:sz w:val="22"/>
      <w:lang w:val="en-GB"/>
    </w:rPr>
  </w:style>
  <w:style w:type="table" w:customStyle="1" w:styleId="49">
    <w:name w:val="列出段落1"/>
    <w:basedOn w:val="22"/>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0"/>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6"/>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locked/>
    <w:uiPriority w:val="0"/>
    <w:rPr>
      <w:rFonts w:ascii="Arial" w:hAnsi="Arial" w:cs="Arial"/>
      <w:lang w:val="en-GB" w:eastAsia="en-US"/>
    </w:rPr>
  </w:style>
  <w:style w:type="paragraph" w:customStyle="1" w:styleId="67">
    <w:name w:val="CR Cover Page"/>
    <w:link w:val="66"/>
    <w:uiPriority w:val="0"/>
    <w:pPr>
      <w:spacing w:after="120"/>
    </w:pPr>
    <w:rPr>
      <w:rFonts w:ascii="Arial" w:hAnsi="Arial" w:eastAsia="宋体" w:cs="Arial"/>
      <w:lang w:val="en-GB" w:eastAsia="en-US" w:bidi="ar-SA"/>
    </w:rPr>
  </w:style>
  <w:style w:type="character" w:customStyle="1" w:styleId="68">
    <w:name w:val="Body Text Char"/>
    <w:link w:val="15"/>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0"/>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4"/>
    <w:link w:val="73"/>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uiPriority w:val="0"/>
    <w:rPr>
      <w:rFonts w:ascii="Times New Roman" w:hAnsi="Times New Roman" w:eastAsia="Malgun Gothic"/>
      <w:lang w:val="en-GB" w:eastAsia="en-US"/>
    </w:rPr>
  </w:style>
  <w:style w:type="paragraph" w:customStyle="1" w:styleId="77">
    <w:name w:val="EX"/>
    <w:basedOn w:val="1"/>
    <w:link w:val="78"/>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88"/>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character" w:customStyle="1" w:styleId="88">
    <w:name w:val="TAH Car"/>
    <w:link w:val="85"/>
    <w:qFormat/>
    <w:uiPriority w:val="0"/>
    <w:rPr>
      <w:rFonts w:ascii="Arial" w:hAnsi="Arial" w:eastAsia="Times New Roman"/>
      <w:b/>
      <w:sz w:val="18"/>
      <w:lang w:val="en-GB" w:eastAsia="en-US"/>
    </w:rPr>
  </w:style>
  <w:style w:type="character" w:customStyle="1" w:styleId="89">
    <w:name w:val="TAL Car"/>
    <w:qFormat/>
    <w:uiPriority w:val="0"/>
    <w:rPr>
      <w:rFonts w:ascii="Arial" w:hAnsi="Arial" w:eastAsia="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0D0E83-56FA-465F-91DD-6760C8FBC62D}">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1025</Words>
  <Characters>5846</Characters>
  <Lines>48</Lines>
  <Paragraphs>13</Paragraphs>
  <TotalTime>1</TotalTime>
  <ScaleCrop>false</ScaleCrop>
  <LinksUpToDate>false</LinksUpToDate>
  <CharactersWithSpaces>6858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2020-02-14T04:06:03Z</dcterms:modified>
  <cp:revision>3446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